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right"/>
        <w:rPr>
          <w:b/>
          <w:sz w:val="24"/>
          <w:szCs w:val="24"/>
        </w:rPr>
      </w:pPr>
      <w:r>
        <w:rPr>
          <w:b/>
          <w:sz w:val="24"/>
          <w:szCs w:val="24"/>
        </w:rPr>
        <w:t>Проект</w:t>
      </w:r>
    </w:p>
    <w:p>
      <w:pPr>
        <w:spacing w:after="0"/>
        <w:jc w:val="center"/>
        <w:rPr>
          <w:b/>
          <w:sz w:val="24"/>
          <w:szCs w:val="24"/>
        </w:rPr>
      </w:pPr>
    </w:p>
    <w:p>
      <w:pPr>
        <w:spacing w:after="0"/>
        <w:jc w:val="center"/>
        <w:rPr>
          <w:b/>
          <w:sz w:val="24"/>
          <w:szCs w:val="24"/>
        </w:rPr>
      </w:pPr>
      <w:r>
        <w:rPr>
          <w:b/>
          <w:sz w:val="24"/>
          <w:szCs w:val="24"/>
        </w:rPr>
        <w:t>ІНСТРУКЦІЯ</w:t>
      </w:r>
    </w:p>
    <w:p>
      <w:pPr>
        <w:spacing w:after="0"/>
        <w:jc w:val="center"/>
        <w:rPr>
          <w:b/>
          <w:sz w:val="24"/>
          <w:szCs w:val="24"/>
        </w:rPr>
      </w:pPr>
      <w:r>
        <w:rPr>
          <w:b/>
          <w:sz w:val="24"/>
          <w:szCs w:val="24"/>
        </w:rPr>
        <w:t xml:space="preserve">щодо заповнення форм Звіту </w:t>
      </w:r>
      <w:bookmarkStart w:id="0" w:name="_Hlk10801212"/>
      <w:r>
        <w:rPr>
          <w:b/>
          <w:sz w:val="24"/>
          <w:szCs w:val="24"/>
        </w:rPr>
        <w:t xml:space="preserve">про платежі на користь держави </w:t>
      </w:r>
      <w:bookmarkEnd w:id="0"/>
    </w:p>
    <w:p>
      <w:pPr>
        <w:spacing w:after="0"/>
        <w:jc w:val="center"/>
        <w:rPr>
          <w:b/>
          <w:sz w:val="24"/>
          <w:szCs w:val="24"/>
        </w:rPr>
      </w:pPr>
      <w:r>
        <w:rPr>
          <w:b/>
          <w:sz w:val="24"/>
          <w:szCs w:val="24"/>
        </w:rPr>
        <w:t xml:space="preserve">і Консолідованого звіту про платежі на користь держави </w:t>
      </w:r>
    </w:p>
    <w:p>
      <w:pPr>
        <w:jc w:val="center"/>
        <w:rPr>
          <w:sz w:val="24"/>
          <w:szCs w:val="24"/>
        </w:rPr>
      </w:pPr>
    </w:p>
    <w:p>
      <w:pPr>
        <w:jc w:val="both"/>
        <w:rPr>
          <w:b/>
          <w:sz w:val="24"/>
          <w:szCs w:val="24"/>
        </w:rPr>
      </w:pPr>
      <w:r>
        <w:rPr>
          <w:b/>
          <w:sz w:val="24"/>
          <w:szCs w:val="24"/>
        </w:rPr>
        <w:t>І. Загальні положення</w:t>
      </w:r>
    </w:p>
    <w:p>
      <w:pPr>
        <w:jc w:val="both"/>
        <w:rPr>
          <w:sz w:val="24"/>
          <w:szCs w:val="24"/>
        </w:rPr>
      </w:pPr>
      <w:r>
        <w:rPr>
          <w:sz w:val="24"/>
          <w:szCs w:val="24"/>
        </w:rPr>
        <w:t>1. Інструкція визначає особливості заповнення форм Звіту про платежі на користь держави  і Консолідованого звіту про платежі на користь держави (далі – звіт, консолідований звіт) та порядок їх подання до Міненерговугілля.</w:t>
      </w:r>
    </w:p>
    <w:p>
      <w:pPr>
        <w:jc w:val="both"/>
        <w:rPr>
          <w:sz w:val="24"/>
          <w:szCs w:val="24"/>
          <w:highlight w:val="yellow"/>
        </w:rPr>
      </w:pPr>
      <w:r>
        <w:rPr>
          <w:sz w:val="24"/>
          <w:szCs w:val="24"/>
        </w:rPr>
        <w:t xml:space="preserve">2. Інструкція поширюється на суб'єктів господарювання, які здійснюють принаймні один з визначених Законом видів проектної діяльності за будь-якою з корисних копалин загальнодержавного значення (суб’єкти господарювання, які здійснюють діяльність у видобувних галузях), а також на підприємства, які здійснюють контроль  принаймні за одним із зазначених суб’єктів господарювання (материнські підприємства у видобувних галузях). </w:t>
      </w:r>
    </w:p>
    <w:p>
      <w:pPr>
        <w:jc w:val="both"/>
        <w:rPr>
          <w:sz w:val="24"/>
          <w:szCs w:val="24"/>
        </w:rPr>
      </w:pPr>
      <w:r>
        <w:rPr>
          <w:sz w:val="24"/>
          <w:szCs w:val="24"/>
        </w:rPr>
        <w:t>3. Інші терміни в Інструкції використовуються у значеннях, наведених у Законі України "Про забезпечення прозорості у видобувних галузях" (далі - Закон).</w:t>
      </w:r>
    </w:p>
    <w:p>
      <w:pPr>
        <w:jc w:val="both"/>
        <w:rPr>
          <w:b/>
          <w:sz w:val="24"/>
          <w:szCs w:val="24"/>
        </w:rPr>
      </w:pPr>
      <w:r>
        <w:rPr>
          <w:b/>
          <w:sz w:val="24"/>
          <w:szCs w:val="24"/>
        </w:rPr>
        <w:t>ІІ. Порядок і термін подання звітів</w:t>
      </w:r>
    </w:p>
    <w:p>
      <w:pPr>
        <w:jc w:val="both"/>
        <w:rPr>
          <w:color w:val="000000"/>
          <w:sz w:val="24"/>
          <w:szCs w:val="24"/>
          <w:shd w:val="clear" w:color="auto" w:fill="FFFFFF"/>
        </w:rPr>
      </w:pPr>
      <w:r>
        <w:rPr>
          <w:sz w:val="24"/>
          <w:szCs w:val="24"/>
        </w:rPr>
        <w:t>1. Щороку до 1 вересня року, наступного за звітним періодом, суб’єкти господарювання, які здійснюють діяльність у видобувних галузях, складають звіт, а материнські підприємства у видобувних галузях - консолідований звіт</w:t>
      </w:r>
      <w:r>
        <w:rPr>
          <w:sz w:val="24"/>
          <w:szCs w:val="24"/>
          <w:lang w:val="ru-RU"/>
        </w:rPr>
        <w:t>,</w:t>
      </w:r>
      <w:r>
        <w:rPr>
          <w:sz w:val="24"/>
          <w:szCs w:val="24"/>
        </w:rPr>
        <w:t xml:space="preserve"> за формою, затвердженою постановою Кабінету Міністрів України від ______________ 2019 р. № _____, та надсилають його до Міненерговугілля і</w:t>
      </w:r>
      <w:r>
        <w:rPr>
          <w:color w:val="000000"/>
          <w:sz w:val="24"/>
          <w:szCs w:val="24"/>
          <w:shd w:val="clear" w:color="auto" w:fill="FFFFFF"/>
        </w:rPr>
        <w:t xml:space="preserve"> незалежного адміністратора.</w:t>
      </w:r>
    </w:p>
    <w:p>
      <w:pPr>
        <w:jc w:val="both"/>
        <w:rPr>
          <w:sz w:val="24"/>
          <w:szCs w:val="24"/>
        </w:rPr>
      </w:pPr>
      <w:r>
        <w:rPr>
          <w:sz w:val="24"/>
          <w:szCs w:val="24"/>
        </w:rPr>
        <w:t xml:space="preserve">Звіт надсилається в електронному вигляді (у форматі книги </w:t>
      </w:r>
      <w:r>
        <w:rPr>
          <w:sz w:val="24"/>
          <w:szCs w:val="24"/>
          <w:lang w:val="en-US"/>
        </w:rPr>
        <w:t>MS</w:t>
      </w:r>
      <w:r>
        <w:rPr>
          <w:sz w:val="24"/>
          <w:szCs w:val="24"/>
        </w:rPr>
        <w:t xml:space="preserve"> </w:t>
      </w:r>
      <w:r>
        <w:rPr>
          <w:sz w:val="24"/>
          <w:szCs w:val="24"/>
          <w:lang w:val="en-US"/>
        </w:rPr>
        <w:t>Excel</w:t>
      </w:r>
      <w:r>
        <w:rPr>
          <w:sz w:val="24"/>
          <w:szCs w:val="24"/>
        </w:rPr>
        <w:t xml:space="preserve"> або електронної таблиці </w:t>
      </w:r>
      <w:r>
        <w:rPr>
          <w:sz w:val="24"/>
          <w:szCs w:val="24"/>
          <w:lang w:val="en-US"/>
        </w:rPr>
        <w:t>OpenDocument</w:t>
      </w:r>
      <w:r>
        <w:rPr>
          <w:sz w:val="24"/>
          <w:szCs w:val="24"/>
        </w:rPr>
        <w:t>) на електронну адресу Міненерговугілля (______________) та електронну адресу незалежного адміністратора, вказану у рішенні Багатосторонньої групи з імплементації ІПВГ про схвалення кандидатури незалежного адміністратора, а якщо це неможливо - у паперовому вигляді поштовим відправленням з описом вкладення  на адресу Міненерговугілля (__________________________) та на адресу незалежного адміністратора, вказану у рішенні Багатосторонньої групи з імплементації ІПВГ про схвалення кандидатури незалежного адміністратора.</w:t>
      </w:r>
    </w:p>
    <w:p>
      <w:pPr>
        <w:jc w:val="both"/>
        <w:rPr>
          <w:sz w:val="24"/>
          <w:szCs w:val="24"/>
        </w:rPr>
      </w:pPr>
      <w:r>
        <w:rPr>
          <w:sz w:val="24"/>
          <w:szCs w:val="24"/>
        </w:rPr>
        <w:t>2. Звіт підписується керівником суб'єкта господарювання, який здійснює діяльність у видобувних галузях, материнського підприємства у видобувних галузях та виконавцем, що підготував  звіт. У разі надсилання звіту в електронному вигляді звіт підписується із застосуванням ключів електронно-цифрового підпису.</w:t>
      </w:r>
    </w:p>
    <w:p>
      <w:pPr>
        <w:jc w:val="both"/>
        <w:rPr>
          <w:sz w:val="24"/>
          <w:szCs w:val="24"/>
        </w:rPr>
      </w:pPr>
      <w:r>
        <w:rPr>
          <w:sz w:val="24"/>
          <w:szCs w:val="24"/>
        </w:rPr>
        <w:t>3. Датою подання звіту вважається дата його надходження до Міненерговугілля.</w:t>
      </w:r>
    </w:p>
    <w:p>
      <w:pPr>
        <w:jc w:val="both"/>
        <w:rPr>
          <w:sz w:val="24"/>
          <w:szCs w:val="24"/>
        </w:rPr>
      </w:pPr>
      <w:r>
        <w:rPr>
          <w:sz w:val="24"/>
          <w:szCs w:val="24"/>
        </w:rPr>
        <w:t>4. Усі дані в звіті, консолідованому звіті мають бути наведені в одиницях виміру, які вказані в формі звіту.</w:t>
      </w:r>
    </w:p>
    <w:p>
      <w:pPr>
        <w:jc w:val="both"/>
        <w:rPr>
          <w:sz w:val="24"/>
          <w:szCs w:val="24"/>
        </w:rPr>
      </w:pPr>
      <w:r>
        <w:rPr>
          <w:sz w:val="24"/>
          <w:szCs w:val="24"/>
        </w:rPr>
        <w:lastRenderedPageBreak/>
        <w:t>5. Суб’єкт господарювання, який здійснює діяльність у видобувних галузях, материнське підприємство у видобувних галузях не має права вносити зміни до затвердженої форми звіту.</w:t>
      </w:r>
    </w:p>
    <w:p>
      <w:pPr>
        <w:jc w:val="both"/>
        <w:rPr>
          <w:sz w:val="24"/>
          <w:szCs w:val="24"/>
        </w:rPr>
      </w:pPr>
      <w:r>
        <w:rPr>
          <w:sz w:val="24"/>
          <w:szCs w:val="24"/>
        </w:rPr>
        <w:t xml:space="preserve">6. У разі відсутності діяльності у звітному періоді або даних, що підлягають внесенню до звіту, суб’єкт господарювання, який здійснює діяльність у видобувних галузях, материнське підприємство у видобувних галузях надає звіт за встановленою формою, при цьому </w:t>
      </w:r>
      <w:bookmarkStart w:id="1" w:name="_Hlk10720593"/>
      <w:r>
        <w:rPr>
          <w:sz w:val="24"/>
          <w:szCs w:val="24"/>
        </w:rPr>
        <w:t>проставляє значення "0" у відповідних графах.</w:t>
      </w:r>
    </w:p>
    <w:bookmarkEnd w:id="1"/>
    <w:p>
      <w:pPr>
        <w:jc w:val="both"/>
        <w:rPr>
          <w:sz w:val="24"/>
          <w:szCs w:val="24"/>
        </w:rPr>
      </w:pPr>
      <w:r>
        <w:rPr>
          <w:sz w:val="24"/>
          <w:szCs w:val="24"/>
        </w:rPr>
        <w:t>7. У разі внесення змін до звіту, консолідованого звіту після його відправлення суб’єкт господарювання, який здійснює діяльність у видобувних галузях, материнське підприємство у видобувних галузях зобов'язані терміново надіслати до Міненерговугілля виправлений звіт у формі, в якій його було надано (в електронному вигляді або на паперових носіях поштою).</w:t>
      </w:r>
    </w:p>
    <w:p>
      <w:pPr>
        <w:jc w:val="both"/>
        <w:rPr>
          <w:sz w:val="24"/>
          <w:szCs w:val="24"/>
        </w:rPr>
      </w:pPr>
      <w:r>
        <w:rPr>
          <w:sz w:val="24"/>
          <w:szCs w:val="24"/>
        </w:rPr>
        <w:t>Виправлений звіт надсилається  разом з супровідним листом із зазначенням причини внесення змін та переліком внесених змін.</w:t>
      </w:r>
    </w:p>
    <w:p>
      <w:pPr>
        <w:jc w:val="both"/>
        <w:rPr>
          <w:b/>
          <w:sz w:val="24"/>
          <w:szCs w:val="24"/>
        </w:rPr>
      </w:pPr>
      <w:r>
        <w:rPr>
          <w:b/>
          <w:sz w:val="24"/>
          <w:szCs w:val="24"/>
        </w:rPr>
        <w:t>ІІІ. Звіт про платежі на користь держави</w:t>
      </w:r>
    </w:p>
    <w:p>
      <w:pPr>
        <w:jc w:val="both"/>
        <w:rPr>
          <w:b/>
          <w:sz w:val="24"/>
          <w:szCs w:val="24"/>
        </w:rPr>
      </w:pPr>
      <w:r>
        <w:rPr>
          <w:b/>
          <w:sz w:val="24"/>
          <w:szCs w:val="24"/>
        </w:rPr>
        <w:t xml:space="preserve">1. Розділ 1 звіту </w:t>
      </w:r>
    </w:p>
    <w:p>
      <w:pPr>
        <w:jc w:val="both"/>
        <w:rPr>
          <w:sz w:val="24"/>
          <w:szCs w:val="24"/>
        </w:rPr>
      </w:pPr>
      <w:r>
        <w:rPr>
          <w:sz w:val="24"/>
          <w:szCs w:val="24"/>
        </w:rPr>
        <w:t>1.1. У розділі 1 звіту "Загальні дані" відображається загальна інформація про суб’єкта господарювання, який здійснює діяльність у видобувних галузях, що подає звіт.</w:t>
      </w:r>
    </w:p>
    <w:p>
      <w:pPr>
        <w:jc w:val="both"/>
        <w:rPr>
          <w:sz w:val="24"/>
          <w:szCs w:val="24"/>
        </w:rPr>
      </w:pPr>
      <w:r>
        <w:rPr>
          <w:sz w:val="24"/>
          <w:szCs w:val="24"/>
        </w:rPr>
        <w:t>1.2. У підрозділі 1.1 зазначається рік, за який подається звіт.</w:t>
      </w:r>
    </w:p>
    <w:p>
      <w:pPr>
        <w:jc w:val="both"/>
        <w:rPr>
          <w:sz w:val="24"/>
          <w:szCs w:val="24"/>
        </w:rPr>
      </w:pPr>
      <w:r>
        <w:rPr>
          <w:sz w:val="24"/>
          <w:szCs w:val="24"/>
        </w:rPr>
        <w:t>1.3. У підрозділі 1.2:</w:t>
      </w:r>
    </w:p>
    <w:p>
      <w:pPr>
        <w:jc w:val="both"/>
        <w:rPr>
          <w:sz w:val="24"/>
          <w:szCs w:val="24"/>
        </w:rPr>
      </w:pPr>
      <w:r>
        <w:rPr>
          <w:sz w:val="24"/>
          <w:szCs w:val="24"/>
        </w:rPr>
        <w:t>у рядку «Найменування» вказується повне найменування суб’єкта господарювання, який здійснює діяльність у видобувних галузях, відповідно до статуту такого суб’єкта господарювання;</w:t>
      </w:r>
    </w:p>
    <w:p>
      <w:pPr>
        <w:jc w:val="both"/>
        <w:rPr>
          <w:sz w:val="24"/>
          <w:szCs w:val="24"/>
        </w:rPr>
      </w:pPr>
      <w:r>
        <w:rPr>
          <w:sz w:val="24"/>
          <w:szCs w:val="24"/>
        </w:rPr>
        <w:t>у рядку «Місцезнаходження» вказується адреса місцезнаходження суб’єкта господарювання відповідно до відомостей Єдиного державного реєстру юридичних осіб, фізичних осіб - підприємців та громадських формувань (юридична адреса).</w:t>
      </w:r>
    </w:p>
    <w:p>
      <w:pPr>
        <w:jc w:val="both"/>
        <w:rPr>
          <w:sz w:val="24"/>
          <w:szCs w:val="24"/>
        </w:rPr>
      </w:pPr>
      <w:r>
        <w:rPr>
          <w:sz w:val="24"/>
          <w:szCs w:val="24"/>
        </w:rPr>
        <w:t>У разі, якщо в рядку «Посада особи, що уповноважена на підписання цього звіту» вказується інша, ніж керівник суб’єкта господарювання, особа, уповноважена на підписання звіту, разом із звітом суб’єкт господарювання надсилає копію документа (документів), що підтверджує повноваження особи на підписання звіту із застосуванням ключів електронно-цифрового підпису.</w:t>
      </w:r>
    </w:p>
    <w:p>
      <w:pPr>
        <w:jc w:val="both"/>
        <w:rPr>
          <w:sz w:val="24"/>
          <w:szCs w:val="24"/>
        </w:rPr>
      </w:pPr>
      <w:r>
        <w:rPr>
          <w:sz w:val="24"/>
          <w:szCs w:val="24"/>
        </w:rPr>
        <w:t>1.4. У підрозділі 1.3 вказуються адреса фактичного місцезнаходження суб’єкта господарювання, якщо вона відрізняється від його юридичної адреси, та електронна адреса, контактний телефон та/або факс виконавця, що підготував  звіт.</w:t>
      </w:r>
    </w:p>
    <w:p>
      <w:pPr>
        <w:jc w:val="both"/>
        <w:rPr>
          <w:sz w:val="24"/>
          <w:szCs w:val="24"/>
        </w:rPr>
      </w:pPr>
      <w:r>
        <w:rPr>
          <w:sz w:val="24"/>
          <w:szCs w:val="24"/>
        </w:rPr>
        <w:t xml:space="preserve">1.5. У підрозділі 1.4 вказуються найменування аудиторської фірми або аудитора, якою (яким) проведено аудит фінансової звітності суб’єкта господарювання, дата складання аудиторського звіту та кількість аркушів у ньому. </w:t>
      </w:r>
    </w:p>
    <w:p>
      <w:pPr>
        <w:jc w:val="both"/>
        <w:rPr>
          <w:sz w:val="24"/>
          <w:szCs w:val="24"/>
        </w:rPr>
      </w:pPr>
      <w:r>
        <w:rPr>
          <w:sz w:val="24"/>
          <w:szCs w:val="24"/>
        </w:rPr>
        <w:lastRenderedPageBreak/>
        <w:t>Копія аудиторського звіту подається до Міненерговугілля суб'єктами господарювання, які відповідно до законодавства зобов'язані проводити аудит фінансової звітності, разом із звітом про платежі на користь держави.</w:t>
      </w:r>
    </w:p>
    <w:p>
      <w:pPr>
        <w:jc w:val="both"/>
        <w:rPr>
          <w:sz w:val="24"/>
          <w:szCs w:val="24"/>
        </w:rPr>
      </w:pPr>
      <w:r>
        <w:rPr>
          <w:sz w:val="24"/>
          <w:szCs w:val="24"/>
        </w:rPr>
        <w:t>1.6. У підрозділі 1.5 зазначається середня кількість  працівників  підприємства, які працювали протягом звітного періоду.</w:t>
      </w:r>
      <w:r>
        <w:t xml:space="preserve"> С</w:t>
      </w:r>
      <w:r>
        <w:rPr>
          <w:sz w:val="24"/>
          <w:szCs w:val="24"/>
        </w:rPr>
        <w:t>ередня кількість  працівників  підприємства розраховується відповідно до Інструкції зі статистики кількості працівників, затвердженої наказом Державного комітету статистики України від 28.09.2005 р. № 286. Середня кількість працівників підприємства дизагрегується по гендеру і рівнях посад.</w:t>
      </w:r>
    </w:p>
    <w:p>
      <w:pPr>
        <w:jc w:val="both"/>
        <w:rPr>
          <w:sz w:val="24"/>
          <w:szCs w:val="24"/>
        </w:rPr>
      </w:pPr>
      <w:r>
        <w:rPr>
          <w:sz w:val="24"/>
          <w:szCs w:val="24"/>
        </w:rPr>
        <w:t>1.7. У підрозділі 1.6 зазначається інформація про кінцевих бенефеціарних власників (контролерів) суб’єкта господарювання, сформована відповідно до відомостей Єдиного державного реєстру юридичних осіб, фізичних осіб-підприємців та громадських формувань станом на 31 грудня звітного періоду.</w:t>
      </w:r>
    </w:p>
    <w:p>
      <w:pPr>
        <w:jc w:val="both"/>
        <w:rPr>
          <w:sz w:val="24"/>
          <w:szCs w:val="24"/>
        </w:rPr>
      </w:pPr>
      <w:r>
        <w:rPr>
          <w:sz w:val="24"/>
          <w:szCs w:val="24"/>
        </w:rPr>
        <w:t>1.8. У підрозділі 1.7 позначка «так» зазначається за тими видами проектної діяльності, по яких суб’єкт господарювання протягом звітного періоду:</w:t>
      </w:r>
    </w:p>
    <w:p>
      <w:pPr>
        <w:jc w:val="both"/>
        <w:rPr>
          <w:sz w:val="24"/>
          <w:szCs w:val="24"/>
        </w:rPr>
      </w:pPr>
      <w:r>
        <w:rPr>
          <w:sz w:val="24"/>
          <w:szCs w:val="24"/>
        </w:rPr>
        <w:t>володів відповідним спеціальним дозволом (дозволами) на користування надрами;</w:t>
      </w:r>
    </w:p>
    <w:p>
      <w:pPr>
        <w:jc w:val="both"/>
        <w:rPr>
          <w:sz w:val="24"/>
          <w:szCs w:val="24"/>
        </w:rPr>
      </w:pPr>
      <w:r>
        <w:rPr>
          <w:sz w:val="24"/>
          <w:szCs w:val="24"/>
        </w:rPr>
        <w:t>та/або володів ліцензією на здійснення господарської діяльності з транспортування природного газу, або ліцензією з транспортування нафти магістральним трубопроводом;</w:t>
      </w:r>
    </w:p>
    <w:p>
      <w:pPr>
        <w:jc w:val="both"/>
        <w:rPr>
          <w:sz w:val="24"/>
          <w:szCs w:val="24"/>
        </w:rPr>
      </w:pPr>
      <w:r>
        <w:rPr>
          <w:sz w:val="24"/>
          <w:szCs w:val="24"/>
        </w:rPr>
        <w:t>та/або мав укладений договір про спільну діяльність, угоду про розподіл продукції або інший договір, що встановлюють зобов’язання суб’єкта господарювання перед державою у зв’язку з користуванням надрами.</w:t>
      </w:r>
    </w:p>
    <w:p>
      <w:pPr>
        <w:jc w:val="both"/>
        <w:rPr>
          <w:sz w:val="24"/>
          <w:szCs w:val="24"/>
        </w:rPr>
      </w:pPr>
      <w:r>
        <w:rPr>
          <w:sz w:val="24"/>
          <w:szCs w:val="24"/>
        </w:rPr>
        <w:t xml:space="preserve">1.9. У підрозділі 1.8 відображаються інформація </w:t>
      </w:r>
      <w:bookmarkStart w:id="2" w:name="_Hlk10722106"/>
      <w:r>
        <w:rPr>
          <w:sz w:val="24"/>
          <w:szCs w:val="24"/>
        </w:rPr>
        <w:t>про витрати суб’єкта господарювання, який здійснює діяльність у видобувних галузях, на фінансування/співфінансування соціальних проектів, програм, що реалізуються місцевими громадами, за рахунок інших джерел фінансування, ніж рентні платежі.</w:t>
      </w:r>
    </w:p>
    <w:bookmarkEnd w:id="2"/>
    <w:p>
      <w:pPr>
        <w:jc w:val="both"/>
        <w:rPr>
          <w:sz w:val="24"/>
          <w:szCs w:val="24"/>
        </w:rPr>
      </w:pPr>
      <w:r>
        <w:rPr>
          <w:sz w:val="24"/>
          <w:szCs w:val="24"/>
        </w:rPr>
        <w:t>У  графі 2 назва соціального проекту, програми зазначається згідно з назвою, що зазначена у рішенні органу місцевого самоврядування або органу державної влади, яким затверджено/схвалено такий соціальний проект, програму. У разі відсутності затвердженого/схваленого проекту, програми зазначаються основна інформація про цільове призначення фінансової допомоги, що надається суб’єктом господарювання організації, установі або підприємству державної або комунальної форми власності.</w:t>
      </w:r>
    </w:p>
    <w:p>
      <w:pPr>
        <w:jc w:val="both"/>
        <w:rPr>
          <w:sz w:val="24"/>
          <w:szCs w:val="24"/>
        </w:rPr>
      </w:pPr>
      <w:r>
        <w:rPr>
          <w:sz w:val="24"/>
          <w:szCs w:val="24"/>
        </w:rPr>
        <w:t>У графі 3 зазначається  основна інформація про проект, програму (мета, основні завдання, вигодонабувачі від реалізації проекту, програми).</w:t>
      </w:r>
    </w:p>
    <w:p>
      <w:pPr>
        <w:jc w:val="both"/>
        <w:rPr>
          <w:sz w:val="24"/>
          <w:szCs w:val="24"/>
        </w:rPr>
      </w:pPr>
      <w:r>
        <w:rPr>
          <w:sz w:val="24"/>
          <w:szCs w:val="24"/>
        </w:rPr>
        <w:t>У графі 4 зазначається:</w:t>
      </w:r>
    </w:p>
    <w:p>
      <w:pPr>
        <w:jc w:val="both"/>
        <w:rPr>
          <w:sz w:val="24"/>
          <w:szCs w:val="24"/>
        </w:rPr>
      </w:pPr>
      <w:r>
        <w:rPr>
          <w:sz w:val="24"/>
          <w:szCs w:val="24"/>
        </w:rPr>
        <w:t>рішення органу місцевого самоврядування або органу державної влади, яким затверджено/схвалено соціальний проект, програму;</w:t>
      </w:r>
    </w:p>
    <w:p>
      <w:pPr>
        <w:jc w:val="both"/>
        <w:rPr>
          <w:sz w:val="24"/>
          <w:szCs w:val="24"/>
        </w:rPr>
      </w:pPr>
      <w:r>
        <w:rPr>
          <w:sz w:val="24"/>
          <w:szCs w:val="24"/>
        </w:rPr>
        <w:t>та/або договір, на підставі якого здійснюється надання фінансової допомоги.</w:t>
      </w:r>
    </w:p>
    <w:p>
      <w:pPr>
        <w:jc w:val="both"/>
        <w:rPr>
          <w:sz w:val="24"/>
          <w:szCs w:val="24"/>
        </w:rPr>
      </w:pPr>
      <w:r>
        <w:rPr>
          <w:sz w:val="24"/>
          <w:szCs w:val="24"/>
        </w:rPr>
        <w:t>У графі 5 місце розміщення виробничих потужностей (населений пункт, район, область)  зазначається суб’єктом господарювання у разі, якщо соціальний проект, програма реалізується в місці розміщення таких виробничих потужностей.</w:t>
      </w:r>
    </w:p>
    <w:p>
      <w:pPr>
        <w:jc w:val="both"/>
        <w:rPr>
          <w:sz w:val="24"/>
          <w:szCs w:val="24"/>
        </w:rPr>
      </w:pPr>
      <w:r>
        <w:rPr>
          <w:sz w:val="24"/>
          <w:szCs w:val="24"/>
        </w:rPr>
        <w:lastRenderedPageBreak/>
        <w:t xml:space="preserve">У графі 6 зазначається організація, установа або підприємство державної або комунальної форми власності, в інтересах якої реалізується проект, програма або надається фінансова допомога відповідно до договору. </w:t>
      </w:r>
    </w:p>
    <w:p>
      <w:pPr>
        <w:jc w:val="both"/>
        <w:rPr>
          <w:sz w:val="24"/>
          <w:szCs w:val="24"/>
        </w:rPr>
      </w:pPr>
      <w:r>
        <w:rPr>
          <w:sz w:val="24"/>
          <w:szCs w:val="24"/>
        </w:rPr>
        <w:t xml:space="preserve">1.10. У підрозділі 1.9 відображається інформація про будь-яку фінансову або інший вид допомоги, </w:t>
      </w:r>
      <w:bookmarkStart w:id="3" w:name="_Hlk10557321"/>
      <w:r>
        <w:rPr>
          <w:sz w:val="24"/>
          <w:szCs w:val="24"/>
        </w:rPr>
        <w:t xml:space="preserve">отриманий </w:t>
      </w:r>
      <w:bookmarkStart w:id="4" w:name="_Hlk10560200"/>
      <w:r>
        <w:rPr>
          <w:sz w:val="24"/>
          <w:szCs w:val="24"/>
        </w:rPr>
        <w:t>суб’єктом господарювання</w:t>
      </w:r>
      <w:bookmarkEnd w:id="3"/>
      <w:r>
        <w:rPr>
          <w:sz w:val="24"/>
          <w:szCs w:val="24"/>
        </w:rPr>
        <w:t xml:space="preserve">, який здійснює діяльність у видобувних галузях, від органів державної влади та органів місцевого самоврядування, а також </w:t>
      </w:r>
      <w:bookmarkStart w:id="5" w:name="_Hlk10561613"/>
      <w:r>
        <w:rPr>
          <w:sz w:val="24"/>
          <w:szCs w:val="24"/>
        </w:rPr>
        <w:t>підконтрольних їм суб’єктів господарювання</w:t>
      </w:r>
      <w:bookmarkEnd w:id="5"/>
      <w:r>
        <w:rPr>
          <w:sz w:val="24"/>
          <w:szCs w:val="24"/>
        </w:rPr>
        <w:t>, у тому числі державної  допомоги.</w:t>
      </w:r>
    </w:p>
    <w:bookmarkEnd w:id="4"/>
    <w:p>
      <w:pPr>
        <w:jc w:val="both"/>
        <w:rPr>
          <w:sz w:val="24"/>
          <w:szCs w:val="24"/>
        </w:rPr>
      </w:pPr>
      <w:r>
        <w:rPr>
          <w:sz w:val="24"/>
          <w:szCs w:val="24"/>
        </w:rPr>
        <w:t>У графі 4 зазначаються вид фінансової або іншої допомоги, отриманої суб’єктом господарювання від органу державної влади, органу місцевого самоврядування або  підконтрольного їм суб’єкта господарювання. У разі отримання суб’єктом господарювання державної  допомоги, вид державної допомоги зазначається відповідно до статті 4 Закону України «Про державну допомогу суб’єктам господарювання».</w:t>
      </w:r>
    </w:p>
    <w:p>
      <w:pPr>
        <w:jc w:val="both"/>
        <w:rPr>
          <w:sz w:val="24"/>
          <w:szCs w:val="24"/>
        </w:rPr>
      </w:pPr>
      <w:r>
        <w:rPr>
          <w:sz w:val="24"/>
          <w:szCs w:val="24"/>
        </w:rPr>
        <w:t>У графі 5 зазначається підстава для отримання суб’єктом господарювання фінансування /допомоги:</w:t>
      </w:r>
    </w:p>
    <w:p>
      <w:pPr>
        <w:jc w:val="both"/>
        <w:rPr>
          <w:sz w:val="24"/>
          <w:szCs w:val="24"/>
        </w:rPr>
      </w:pPr>
      <w:r>
        <w:rPr>
          <w:sz w:val="24"/>
          <w:szCs w:val="24"/>
        </w:rPr>
        <w:t>у разі надання державної допомоги відповідно до програми державної допомоги – зазначається нормативно-правовий акт або сукупність актів, на підставі яких передбачалось надання державної допомоги;</w:t>
      </w:r>
    </w:p>
    <w:p>
      <w:pPr>
        <w:jc w:val="both"/>
        <w:rPr>
          <w:sz w:val="24"/>
          <w:szCs w:val="24"/>
        </w:rPr>
      </w:pPr>
      <w:r>
        <w:rPr>
          <w:sz w:val="24"/>
          <w:szCs w:val="24"/>
        </w:rPr>
        <w:t>у разі надання індивідуальної державної допомоги – зазначається акт індивідуальної дії, на підставі якого надавалася така державна допомога;</w:t>
      </w:r>
    </w:p>
    <w:p>
      <w:pPr>
        <w:jc w:val="both"/>
        <w:rPr>
          <w:sz w:val="24"/>
          <w:szCs w:val="24"/>
        </w:rPr>
      </w:pPr>
      <w:r>
        <w:rPr>
          <w:sz w:val="24"/>
          <w:szCs w:val="24"/>
        </w:rPr>
        <w:t xml:space="preserve">у разі надання допустимої державної  допомоги (допомога, на отримання якої не потрібно дозволу Антимонопольного комітету) або допомоги, що відповідно до законодавства не визнається  державною допомогою, -  зазначається акт індивідуальної дії та/або договір, на підставі якого надавалася така допомога. </w:t>
      </w:r>
    </w:p>
    <w:p>
      <w:pPr>
        <w:jc w:val="both"/>
        <w:rPr>
          <w:sz w:val="24"/>
          <w:szCs w:val="24"/>
        </w:rPr>
      </w:pPr>
      <w:r>
        <w:rPr>
          <w:sz w:val="24"/>
          <w:szCs w:val="24"/>
        </w:rPr>
        <w:t>1.11. У підрозділі 1.10 зазначається перелік актів звірки платежів за податками, зборами та єдиним внеском на загальнообов’язкове державне соціальне страхування, включаючи у разі якщо такі акти складались.</w:t>
      </w:r>
    </w:p>
    <w:p>
      <w:pPr>
        <w:jc w:val="both"/>
        <w:rPr>
          <w:sz w:val="24"/>
          <w:szCs w:val="24"/>
        </w:rPr>
      </w:pPr>
      <w:r>
        <w:rPr>
          <w:sz w:val="24"/>
          <w:szCs w:val="24"/>
        </w:rPr>
        <w:t xml:space="preserve">Копії актів звірки платежів за переліком, наведеним у підрозділі 1.10 звіту, є невід’ємною частиною звіту та подаються до Міненерговугілля та незалежного адміністратора разом зі звітом в установленому Інструкцією порядку. </w:t>
      </w:r>
    </w:p>
    <w:p>
      <w:pPr>
        <w:jc w:val="both"/>
        <w:rPr>
          <w:b/>
          <w:bCs/>
          <w:sz w:val="24"/>
          <w:szCs w:val="24"/>
        </w:rPr>
      </w:pPr>
      <w:r>
        <w:rPr>
          <w:b/>
          <w:bCs/>
          <w:sz w:val="24"/>
          <w:szCs w:val="24"/>
        </w:rPr>
        <w:t xml:space="preserve">2. Розділ 2 звіту </w:t>
      </w:r>
    </w:p>
    <w:p>
      <w:pPr>
        <w:jc w:val="both"/>
        <w:rPr>
          <w:sz w:val="24"/>
          <w:szCs w:val="24"/>
        </w:rPr>
      </w:pPr>
      <w:r>
        <w:rPr>
          <w:sz w:val="24"/>
          <w:szCs w:val="24"/>
        </w:rPr>
        <w:t>2.1. У розділі 2 звіту зазначаються всі види проектної діяльності, що здійснюються суб’єктом господарювання.</w:t>
      </w:r>
    </w:p>
    <w:p>
      <w:pPr>
        <w:jc w:val="both"/>
        <w:rPr>
          <w:sz w:val="24"/>
          <w:szCs w:val="24"/>
        </w:rPr>
      </w:pPr>
      <w:r>
        <w:rPr>
          <w:sz w:val="24"/>
          <w:szCs w:val="24"/>
        </w:rPr>
        <w:t>2.2. У графі 9 зазначається вид проектної діяльності, що здійснюється суб’єктом господарювання.</w:t>
      </w:r>
    </w:p>
    <w:p>
      <w:pPr>
        <w:jc w:val="both"/>
        <w:rPr>
          <w:sz w:val="24"/>
          <w:szCs w:val="24"/>
        </w:rPr>
      </w:pPr>
      <w:r>
        <w:rPr>
          <w:sz w:val="24"/>
          <w:szCs w:val="24"/>
        </w:rPr>
        <w:t>2.3. За відповідним видом проектної діяльності зазначається інформація про документи, на підставі яких здійснюється така проектна діяльність, а саме:</w:t>
      </w:r>
    </w:p>
    <w:p>
      <w:pPr>
        <w:jc w:val="both"/>
        <w:rPr>
          <w:sz w:val="24"/>
          <w:szCs w:val="24"/>
        </w:rPr>
      </w:pPr>
      <w:r>
        <w:rPr>
          <w:sz w:val="24"/>
          <w:szCs w:val="24"/>
        </w:rPr>
        <w:t xml:space="preserve">інформація про спеціальний дозвіл на користування надрами загальнодержавного значення або інформація про ліцензію на здійснення господарської діяльності з </w:t>
      </w:r>
      <w:r>
        <w:rPr>
          <w:sz w:val="24"/>
          <w:szCs w:val="24"/>
        </w:rPr>
        <w:lastRenderedPageBreak/>
        <w:t>транспортування природного газу або  про ліцензію на здійснення господарської діяльності з транспортування нафти магістральним трубопроводом (графи 2-4);</w:t>
      </w:r>
    </w:p>
    <w:p>
      <w:pPr>
        <w:jc w:val="both"/>
        <w:rPr>
          <w:sz w:val="24"/>
          <w:szCs w:val="24"/>
        </w:rPr>
      </w:pPr>
      <w:r>
        <w:rPr>
          <w:sz w:val="24"/>
          <w:szCs w:val="24"/>
        </w:rPr>
        <w:t xml:space="preserve">та/або інформація про </w:t>
      </w:r>
      <w:bookmarkStart w:id="6" w:name="_Hlk10623875"/>
      <w:r>
        <w:rPr>
          <w:sz w:val="24"/>
          <w:szCs w:val="24"/>
        </w:rPr>
        <w:t>угоду про розподіл продукції або інший договір</w:t>
      </w:r>
      <w:bookmarkStart w:id="7" w:name="_Hlk10624871"/>
      <w:r>
        <w:rPr>
          <w:sz w:val="24"/>
          <w:szCs w:val="24"/>
        </w:rPr>
        <w:t xml:space="preserve">, на підставі якого відбувалось користування надрами </w:t>
      </w:r>
      <w:bookmarkEnd w:id="6"/>
      <w:bookmarkEnd w:id="7"/>
      <w:r>
        <w:rPr>
          <w:sz w:val="24"/>
          <w:szCs w:val="24"/>
        </w:rPr>
        <w:t>(графи 5-8). Інформація зазначається у разі наявності зазначених договорів на користування відповідними ділянками надр.</w:t>
      </w:r>
    </w:p>
    <w:p>
      <w:pPr>
        <w:jc w:val="both"/>
        <w:rPr>
          <w:sz w:val="24"/>
          <w:szCs w:val="24"/>
        </w:rPr>
      </w:pPr>
      <w:r>
        <w:rPr>
          <w:sz w:val="24"/>
          <w:szCs w:val="24"/>
        </w:rPr>
        <w:t>2.4. Назва ділянки надр, її місцезнаходження та корисна копалина, розробка (видобування) якої здійснюється  (графи 10-12) зазначаються відповідно до даних спеціального дозволу на користування надрами.</w:t>
      </w:r>
    </w:p>
    <w:p>
      <w:pPr>
        <w:jc w:val="both"/>
        <w:rPr>
          <w:sz w:val="24"/>
          <w:szCs w:val="24"/>
        </w:rPr>
      </w:pPr>
      <w:r>
        <w:rPr>
          <w:sz w:val="24"/>
          <w:szCs w:val="24"/>
        </w:rPr>
        <w:t>Суб’єкти господарювання, які здійснюють діяльності з транспортування природного газу або діяльність з транспортування нафти магістральним трубопроводом (оператори транспортної системи) у графі 12 зазначають вид продукту, що транспортується згідно з відповідною ліцензією.</w:t>
      </w:r>
    </w:p>
    <w:p>
      <w:pPr>
        <w:jc w:val="both"/>
        <w:rPr>
          <w:b/>
          <w:bCs/>
          <w:sz w:val="24"/>
          <w:szCs w:val="24"/>
        </w:rPr>
      </w:pPr>
      <w:r>
        <w:rPr>
          <w:b/>
          <w:bCs/>
          <w:sz w:val="24"/>
          <w:szCs w:val="24"/>
        </w:rPr>
        <w:t>3. Розділ 3 звіту</w:t>
      </w:r>
    </w:p>
    <w:p>
      <w:pPr>
        <w:jc w:val="both"/>
        <w:rPr>
          <w:sz w:val="24"/>
          <w:szCs w:val="24"/>
        </w:rPr>
      </w:pPr>
      <w:r>
        <w:rPr>
          <w:sz w:val="24"/>
          <w:szCs w:val="24"/>
        </w:rPr>
        <w:t>3.1. У розділі 3 відображаються обсяги видобутку кожного виду корисної копалини в межах кожної ділянки надрокористування, їх втрати, що мали місце під час провадження господарської діяльності при користуванні надрами, а також обсяг виробничо-технологічних витрат у технологічних операціях з видобування, які підлягають інструментальному заміру.</w:t>
      </w:r>
    </w:p>
    <w:p>
      <w:pPr>
        <w:jc w:val="both"/>
        <w:rPr>
          <w:sz w:val="24"/>
          <w:szCs w:val="24"/>
        </w:rPr>
      </w:pPr>
      <w:r>
        <w:rPr>
          <w:sz w:val="24"/>
          <w:szCs w:val="24"/>
        </w:rPr>
        <w:t>3.2. Корисна копалина, що видобувається (графа 6), зазначається відповідно до даних спеціального дозволу на користування надрами, інформація про який зазначається у графах  2-4.</w:t>
      </w:r>
    </w:p>
    <w:p>
      <w:pPr>
        <w:jc w:val="both"/>
        <w:rPr>
          <w:sz w:val="24"/>
          <w:szCs w:val="24"/>
        </w:rPr>
      </w:pPr>
      <w:r>
        <w:rPr>
          <w:sz w:val="24"/>
          <w:szCs w:val="24"/>
        </w:rPr>
        <w:t>У разі, якщо у спеціальному дозволі на користування надрами зазначено два та більше видів корисних копалин, зазначається інформація окремо по кожному виду корисних копалин.</w:t>
      </w:r>
    </w:p>
    <w:p>
      <w:pPr>
        <w:jc w:val="both"/>
        <w:rPr>
          <w:sz w:val="24"/>
          <w:szCs w:val="24"/>
        </w:rPr>
      </w:pPr>
      <w:r>
        <w:rPr>
          <w:sz w:val="24"/>
          <w:szCs w:val="24"/>
        </w:rPr>
        <w:t xml:space="preserve">3.3. Кількість видобутої з надр корисної копалини, включаючи обсяг її втрат та виробничо-технологічних витрат (графа 7), зазначається в одиницях маси (тис. тон) або в одинцях об’єму (тис. метрів кубічних) з точністю до другого знаку після коми. </w:t>
      </w:r>
    </w:p>
    <w:p>
      <w:pPr>
        <w:jc w:val="both"/>
        <w:rPr>
          <w:sz w:val="24"/>
          <w:szCs w:val="24"/>
        </w:rPr>
      </w:pPr>
      <w:r>
        <w:rPr>
          <w:sz w:val="24"/>
          <w:szCs w:val="24"/>
        </w:rPr>
        <w:t>3.4. У графі 8 зазначається загальний обсяг видобутої у звітному періоді корисної копалини, з урахуванням її втрат і виробничо-технологічних витрат під час видобування.</w:t>
      </w:r>
    </w:p>
    <w:p>
      <w:pPr>
        <w:jc w:val="both"/>
        <w:rPr>
          <w:sz w:val="24"/>
          <w:szCs w:val="24"/>
        </w:rPr>
      </w:pPr>
      <w:r>
        <w:rPr>
          <w:sz w:val="24"/>
          <w:szCs w:val="24"/>
        </w:rPr>
        <w:t>Обсяг втрат і виробничо-технологічних витрат під час видобування корисної копалини зазначається окремо у графі 9.</w:t>
      </w:r>
    </w:p>
    <w:p>
      <w:pPr>
        <w:jc w:val="both"/>
        <w:rPr>
          <w:b/>
          <w:bCs/>
          <w:sz w:val="24"/>
          <w:szCs w:val="24"/>
        </w:rPr>
      </w:pPr>
      <w:r>
        <w:rPr>
          <w:b/>
          <w:bCs/>
          <w:sz w:val="24"/>
          <w:szCs w:val="24"/>
        </w:rPr>
        <w:t>4. Розділ 4 звіту</w:t>
      </w:r>
    </w:p>
    <w:p>
      <w:pPr>
        <w:jc w:val="both"/>
        <w:rPr>
          <w:sz w:val="24"/>
          <w:szCs w:val="24"/>
        </w:rPr>
      </w:pPr>
      <w:r>
        <w:rPr>
          <w:sz w:val="24"/>
          <w:szCs w:val="24"/>
        </w:rPr>
        <w:t>4.1. У підрозділі 4.1 зазначаються дані про запаси корисних копалин окремо за кожним видом корисної копалини та окремим родовищем (ділянкою), визначеною  спеціальним дозволом на користування надрами.</w:t>
      </w:r>
    </w:p>
    <w:p>
      <w:pPr>
        <w:jc w:val="both"/>
        <w:rPr>
          <w:sz w:val="24"/>
          <w:szCs w:val="24"/>
        </w:rPr>
      </w:pPr>
      <w:r>
        <w:rPr>
          <w:sz w:val="24"/>
          <w:szCs w:val="24"/>
        </w:rPr>
        <w:t xml:space="preserve">Дані про запаси корисних копалин заповнюються відповідно до звітності щодо обліку запасів корисних копалин 5-гр, 6-гр, 7-гр (форма звітності затверджена наказом Міністерства екології та природних ресурсів України від 14.03.2016 № 97), що готується суб’єктом господарювання (користувачем надр) та подається щороку до Держгеонадра. </w:t>
      </w:r>
    </w:p>
    <w:p>
      <w:pPr>
        <w:jc w:val="both"/>
        <w:rPr>
          <w:sz w:val="24"/>
          <w:szCs w:val="24"/>
        </w:rPr>
      </w:pPr>
      <w:r>
        <w:rPr>
          <w:sz w:val="24"/>
          <w:szCs w:val="24"/>
        </w:rPr>
        <w:lastRenderedPageBreak/>
        <w:t>4.2. У підрозділі 4.2 зазначаються фізичні показники реалізації на території України товарної продукції власного видобутку у звітному періоді та виручка від такої реалізації. Окремо зазначається  розмір виручки від реалізації товарної продукції власного видобутку за експортними операціями (у разі їх наявності).</w:t>
      </w:r>
    </w:p>
    <w:p>
      <w:pPr>
        <w:jc w:val="both"/>
        <w:rPr>
          <w:sz w:val="24"/>
          <w:szCs w:val="24"/>
        </w:rPr>
      </w:pPr>
      <w:r>
        <w:rPr>
          <w:sz w:val="24"/>
          <w:szCs w:val="24"/>
        </w:rPr>
        <w:t xml:space="preserve">Назва реалізованої товарної продукції власного видобутку зазначається суб’єктом господарювання відповідно до вказаної назви у договорах постачання, купівлі-продажу тощо. У разі, якщо суб’єкт господарювання здійснював експорт товарної продукції власного виробництва, зазначається код такої товарної продукції згідно УКТ ЗЕД. </w:t>
      </w:r>
    </w:p>
    <w:p>
      <w:pPr>
        <w:jc w:val="both"/>
        <w:rPr>
          <w:sz w:val="24"/>
          <w:szCs w:val="24"/>
        </w:rPr>
      </w:pPr>
      <w:r>
        <w:rPr>
          <w:sz w:val="24"/>
          <w:szCs w:val="24"/>
        </w:rPr>
        <w:t>Одиниця вимірювання фізичного показника реалізації товарної продукції (графа 3) зазначається в одиницях маси (тис. тон) або в одинцях об’єму (тис. метрів кубічних) з точністю до другого знаку після коми.</w:t>
      </w:r>
    </w:p>
    <w:p>
      <w:pPr>
        <w:jc w:val="both"/>
        <w:rPr>
          <w:sz w:val="24"/>
          <w:szCs w:val="24"/>
        </w:rPr>
      </w:pPr>
      <w:r>
        <w:rPr>
          <w:sz w:val="24"/>
          <w:szCs w:val="24"/>
        </w:rPr>
        <w:t>4.3. Підрозділи 4.3 та 4.4 заповнюють суб’єкти господарювання, які здійснюють діяльність з видобування вуглеводнів.</w:t>
      </w:r>
    </w:p>
    <w:p>
      <w:pPr>
        <w:jc w:val="both"/>
        <w:rPr>
          <w:sz w:val="24"/>
          <w:szCs w:val="24"/>
        </w:rPr>
      </w:pPr>
      <w:r>
        <w:rPr>
          <w:sz w:val="24"/>
          <w:szCs w:val="24"/>
        </w:rPr>
        <w:t xml:space="preserve">У зазначених підрозділах відображаються витрати суб’єкта господарювання на транспортування, зберігання (закачування, відбір) вуглеводнів власного видобутку, також  здійснення інших платежів оператору транспортних систем протягом звітного періоду. </w:t>
      </w:r>
    </w:p>
    <w:p>
      <w:pPr>
        <w:jc w:val="both"/>
        <w:rPr>
          <w:sz w:val="24"/>
          <w:szCs w:val="24"/>
        </w:rPr>
      </w:pPr>
      <w:r>
        <w:rPr>
          <w:sz w:val="24"/>
          <w:szCs w:val="24"/>
        </w:rPr>
        <w:t xml:space="preserve">4.4. Підрозділи 4.5 та 4.6 </w:t>
      </w:r>
      <w:bookmarkStart w:id="8" w:name="_Hlk10647788"/>
      <w:r>
        <w:rPr>
          <w:sz w:val="24"/>
          <w:szCs w:val="24"/>
        </w:rPr>
        <w:t>заповнюють суб’єкти господарювання</w:t>
      </w:r>
      <w:bookmarkEnd w:id="8"/>
      <w:r>
        <w:rPr>
          <w:sz w:val="24"/>
          <w:szCs w:val="24"/>
        </w:rPr>
        <w:t>, які здійснюють діяльності з транспортування природного газу або діяльність з транспортування нафти магістральним трубопроводом (оператори транспортної системи).</w:t>
      </w:r>
    </w:p>
    <w:p>
      <w:pPr>
        <w:jc w:val="both"/>
        <w:rPr>
          <w:sz w:val="24"/>
          <w:szCs w:val="24"/>
        </w:rPr>
      </w:pPr>
      <w:r>
        <w:rPr>
          <w:sz w:val="24"/>
          <w:szCs w:val="24"/>
        </w:rPr>
        <w:t>У підрозділах відображаються дані про виручку оператора транспортної системи:</w:t>
      </w:r>
    </w:p>
    <w:p>
      <w:pPr>
        <w:jc w:val="both"/>
        <w:rPr>
          <w:sz w:val="24"/>
          <w:szCs w:val="24"/>
        </w:rPr>
      </w:pPr>
      <w:r>
        <w:rPr>
          <w:sz w:val="24"/>
          <w:szCs w:val="24"/>
        </w:rPr>
        <w:t xml:space="preserve">за транспортування вуглеводнів у розрізі </w:t>
      </w:r>
      <w:bookmarkStart w:id="9" w:name="_Hlk10644715"/>
      <w:r>
        <w:rPr>
          <w:sz w:val="24"/>
          <w:szCs w:val="24"/>
        </w:rPr>
        <w:t>суб’єктів господарювання, які надавали  продукцію власного видобутку для транспортування</w:t>
      </w:r>
      <w:bookmarkEnd w:id="9"/>
      <w:r>
        <w:rPr>
          <w:sz w:val="24"/>
          <w:szCs w:val="24"/>
        </w:rPr>
        <w:t>, та за маршрутами  транспортування товарної продукції;</w:t>
      </w:r>
    </w:p>
    <w:p>
      <w:pPr>
        <w:jc w:val="both"/>
        <w:rPr>
          <w:sz w:val="24"/>
          <w:szCs w:val="24"/>
        </w:rPr>
      </w:pPr>
      <w:r>
        <w:rPr>
          <w:sz w:val="24"/>
          <w:szCs w:val="24"/>
        </w:rPr>
        <w:t>за зберігання (закачування, відбору) та інші платежі, отримані оператором транспортної системи, в розрізі суб’єктів господарювання, які надавали продукцію для зберігання.</w:t>
      </w:r>
    </w:p>
    <w:p>
      <w:pPr>
        <w:jc w:val="both"/>
        <w:rPr>
          <w:sz w:val="24"/>
          <w:szCs w:val="24"/>
        </w:rPr>
      </w:pPr>
      <w:r>
        <w:rPr>
          <w:sz w:val="24"/>
          <w:szCs w:val="24"/>
        </w:rPr>
        <w:t>4.5. Підрозділ 4.7 заповнюють суб’єкти господарювання, які здійснюють діяльності з транспортування природного газу або діяльність з транспортування нафти магістральним трубопроводом (оператори транспортної системи).</w:t>
      </w:r>
    </w:p>
    <w:p>
      <w:pPr>
        <w:jc w:val="both"/>
        <w:rPr>
          <w:sz w:val="24"/>
          <w:szCs w:val="24"/>
        </w:rPr>
      </w:pPr>
      <w:r>
        <w:rPr>
          <w:sz w:val="24"/>
          <w:szCs w:val="24"/>
        </w:rPr>
        <w:t>У підрозділі зазначаються тарифи на послуги, що надаються оператором транспортної системи, та посилання на рішення уповноваженого органу державної влади, яким встановлено ставки тарифів, з визначенням строку їх дії.</w:t>
      </w:r>
    </w:p>
    <w:p>
      <w:pPr>
        <w:jc w:val="both"/>
        <w:rPr>
          <w:b/>
          <w:bCs/>
          <w:sz w:val="24"/>
          <w:szCs w:val="24"/>
        </w:rPr>
      </w:pPr>
      <w:r>
        <w:rPr>
          <w:b/>
          <w:bCs/>
          <w:sz w:val="24"/>
          <w:szCs w:val="24"/>
        </w:rPr>
        <w:t>5. Розділ 5 звіту</w:t>
      </w:r>
    </w:p>
    <w:p>
      <w:pPr>
        <w:jc w:val="both"/>
        <w:rPr>
          <w:sz w:val="24"/>
          <w:szCs w:val="24"/>
        </w:rPr>
      </w:pPr>
      <w:r>
        <w:rPr>
          <w:sz w:val="24"/>
          <w:szCs w:val="24"/>
        </w:rPr>
        <w:t xml:space="preserve">5.1. У підрозділі 5.1 відображаються всі платежі, що здійснені суб’єктом господарювання, </w:t>
      </w:r>
      <w:bookmarkStart w:id="10" w:name="_Hlk10721822"/>
      <w:r>
        <w:rPr>
          <w:sz w:val="24"/>
          <w:szCs w:val="24"/>
        </w:rPr>
        <w:t xml:space="preserve">який здійснює діяльність у видобувних галузях, </w:t>
      </w:r>
      <w:bookmarkEnd w:id="10"/>
      <w:r>
        <w:rPr>
          <w:sz w:val="24"/>
          <w:szCs w:val="24"/>
        </w:rPr>
        <w:t>на користь держави або місцевих бюджетів, фондів загальнообов’язкового державного соціального і пенсійного страхування або інших отримувачів платежів, а саме:</w:t>
      </w:r>
    </w:p>
    <w:p>
      <w:pPr>
        <w:jc w:val="both"/>
        <w:rPr>
          <w:sz w:val="24"/>
          <w:szCs w:val="24"/>
        </w:rPr>
      </w:pPr>
      <w:r>
        <w:rPr>
          <w:sz w:val="24"/>
          <w:szCs w:val="24"/>
        </w:rPr>
        <w:t xml:space="preserve">загальнодержавні податки та збори, місцеві податки, загальнодержавні внески, у тому числі </w:t>
      </w:r>
      <w:r>
        <w:t xml:space="preserve"> </w:t>
      </w:r>
      <w:r>
        <w:rPr>
          <w:sz w:val="24"/>
          <w:szCs w:val="24"/>
        </w:rPr>
        <w:t xml:space="preserve">із рентної плати за користування надрами для видобування корисних копалин, плати </w:t>
      </w:r>
      <w:r>
        <w:rPr>
          <w:sz w:val="24"/>
          <w:szCs w:val="24"/>
        </w:rPr>
        <w:lastRenderedPageBreak/>
        <w:t>за землю та екологічного податку (крім податку на додану вартість та податку на доходи фізичних осіб);</w:t>
      </w:r>
    </w:p>
    <w:p>
      <w:pPr>
        <w:jc w:val="both"/>
        <w:rPr>
          <w:sz w:val="24"/>
          <w:szCs w:val="24"/>
        </w:rPr>
      </w:pPr>
      <w:r>
        <w:rPr>
          <w:sz w:val="24"/>
          <w:szCs w:val="24"/>
        </w:rPr>
        <w:t>дивіденди, які сплачуються на користь держави;</w:t>
      </w:r>
    </w:p>
    <w:p>
      <w:pPr>
        <w:jc w:val="both"/>
        <w:rPr>
          <w:sz w:val="24"/>
          <w:szCs w:val="24"/>
        </w:rPr>
      </w:pPr>
      <w:r>
        <w:rPr>
          <w:sz w:val="24"/>
          <w:szCs w:val="24"/>
        </w:rPr>
        <w:t>частина прибуткової продукції;</w:t>
      </w:r>
    </w:p>
    <w:p>
      <w:pPr>
        <w:jc w:val="both"/>
        <w:rPr>
          <w:sz w:val="24"/>
          <w:szCs w:val="24"/>
        </w:rPr>
      </w:pPr>
      <w:r>
        <w:rPr>
          <w:sz w:val="24"/>
          <w:szCs w:val="24"/>
        </w:rPr>
        <w:t>платежі (виплата, премія, бонус), передбачені договорами, угодами та іншими не забороненими законодавством правочинами, які регулюють правовідносини між сторонами щодо користування надрами, а саме: договорами про спільну діяльність, угодами про розподіл продукції, договорами оренди чи концесії цілісного майнового комплексу;</w:t>
      </w:r>
    </w:p>
    <w:p>
      <w:pPr>
        <w:jc w:val="both"/>
        <w:rPr>
          <w:sz w:val="24"/>
          <w:szCs w:val="24"/>
        </w:rPr>
      </w:pPr>
      <w:r>
        <w:rPr>
          <w:sz w:val="24"/>
          <w:szCs w:val="24"/>
        </w:rPr>
        <w:t>збори та інші платежі за надання, продовження строку дії, переоформлення, видачу дубліката, внесення змін, зупинення дії чи анулювання спеціального дозволу на користування надрами, ліцензій та інших документів дозвільного характеру на користування надрами;</w:t>
      </w:r>
    </w:p>
    <w:p>
      <w:pPr>
        <w:jc w:val="both"/>
        <w:rPr>
          <w:sz w:val="24"/>
          <w:szCs w:val="24"/>
        </w:rPr>
      </w:pPr>
      <w:r>
        <w:rPr>
          <w:sz w:val="24"/>
          <w:szCs w:val="24"/>
        </w:rPr>
        <w:t>інші платежі, які здійснюються суб’єктами розкриття інформації для користування надрами, а саме: плата за придбання прав на геологічну інформацію, плата за користування (тимчасове зайняття) земельними ділянками, плата (тарифи) за доступ до об’єктів інфраструктури, витрати на покращення інфраструктури, орендні платежі, фінансові санкції за порушення законодавства, що регулює користування надрами.</w:t>
      </w:r>
    </w:p>
    <w:p>
      <w:pPr>
        <w:jc w:val="both"/>
        <w:rPr>
          <w:sz w:val="24"/>
          <w:szCs w:val="24"/>
        </w:rPr>
      </w:pPr>
      <w:r>
        <w:rPr>
          <w:sz w:val="24"/>
          <w:szCs w:val="24"/>
        </w:rPr>
        <w:t>У підрозділі 5.1 не відображаються витрати суб’єкта господарювання на фінансування/співфінансування соціальних проектів, програм, що реалізуються місцевими громадами, за рахунок інших джерела фінансування, ніж рентні платежі суб’єкта господарювання (відображаються у підрозділі 1.8 звіту).</w:t>
      </w:r>
    </w:p>
    <w:p>
      <w:pPr>
        <w:jc w:val="both"/>
        <w:rPr>
          <w:sz w:val="24"/>
          <w:szCs w:val="24"/>
        </w:rPr>
      </w:pPr>
      <w:r>
        <w:rPr>
          <w:sz w:val="24"/>
          <w:szCs w:val="24"/>
        </w:rPr>
        <w:t>Графа 2 заповнюється відносно платежів, які є доходами бюджету. Код класифікації доходів бюджету, що зазначається у графі 2, має відповідати класифікації доходів бюджету, затвердженій наказом Міністерства фінансів України від 14.01.2011  № 11. Для інших платежів, які не є доходами бюджету, у графі 2 проставляється значення "0".</w:t>
      </w:r>
    </w:p>
    <w:p>
      <w:pPr>
        <w:jc w:val="both"/>
        <w:rPr>
          <w:sz w:val="24"/>
          <w:szCs w:val="24"/>
        </w:rPr>
      </w:pPr>
      <w:r>
        <w:rPr>
          <w:sz w:val="24"/>
          <w:szCs w:val="24"/>
        </w:rPr>
        <w:t>Платежі відображаються суб’єктом господарювання, який здійснює діяльність у видобувних галузях, загальною сумою за кожним видом платежу (графи 5, 6).</w:t>
      </w:r>
    </w:p>
    <w:p>
      <w:pPr>
        <w:jc w:val="both"/>
        <w:rPr>
          <w:sz w:val="24"/>
          <w:szCs w:val="24"/>
        </w:rPr>
      </w:pPr>
      <w:r>
        <w:rPr>
          <w:sz w:val="24"/>
          <w:szCs w:val="24"/>
        </w:rPr>
        <w:t xml:space="preserve">У разі здійснення  платежу в натуральній формі (наприклад, частина прибуткової продукції) у графах 5, </w:t>
      </w:r>
      <w:bookmarkStart w:id="11" w:name="_GoBack"/>
      <w:bookmarkEnd w:id="11"/>
      <w:r>
        <w:rPr>
          <w:sz w:val="24"/>
          <w:szCs w:val="24"/>
        </w:rPr>
        <w:t>6 відображається вартісне вираження платежу. При цьому, вартісне вираження такого платежу повинно супроводжуватись приміткою з відповідним поясненням щодо продукції, цінностей, що передані в якості платежу на користь держави, підстави для здійснення платежу у натуральній формі та порядку визначення вартісного вираження платежу. Примітка формується у графі 3 після зазначення відповідного виду платежу.</w:t>
      </w:r>
    </w:p>
    <w:p>
      <w:pPr>
        <w:jc w:val="both"/>
        <w:rPr>
          <w:sz w:val="24"/>
          <w:szCs w:val="24"/>
        </w:rPr>
      </w:pPr>
      <w:r>
        <w:rPr>
          <w:sz w:val="24"/>
          <w:szCs w:val="24"/>
        </w:rPr>
        <w:t>5.2. У підрозділі 5.2 суб’єктами господарювання, які здійснюють діяльність у видобувних галузях, відображаються платежі із рентної плати за користування надрами для видобування корисних копалин, плати за землю та екологічного податку за кожною окремою проектною діяльністю (за кожним спеціальним дозволом на користування надрами та/або угодою про розподіл продукції, іншим договором, на підставі якого здійснюється проектна діяльність).</w:t>
      </w:r>
    </w:p>
    <w:p>
      <w:pPr>
        <w:jc w:val="both"/>
        <w:rPr>
          <w:sz w:val="24"/>
          <w:szCs w:val="24"/>
        </w:rPr>
      </w:pPr>
      <w:r>
        <w:rPr>
          <w:sz w:val="24"/>
          <w:szCs w:val="24"/>
        </w:rPr>
        <w:lastRenderedPageBreak/>
        <w:t xml:space="preserve">У разі, якщо суб’єкт господарювання здійснюють діяльність у видобувних галузях в межах однієї адміністративно-територіальної одиниці на підставі двох чи більше спеціальних дозволів на користування надрами, такий суб’єкт господарювання відображає загальну суму платежів по сплаті плати за землю та екологічного податку в межах відповідної адміністративно-територіальної одиниці. У графах 11 та 12 за кожною окремою проектною діяльністю (за кожним спеціальним дозволом на користування надрами та/або угодою про розподіл продукції, іншим договором, на підставі якого здійснюється проектна діяльність), кодом класифікації і видом платежу зазначається «див. рядок </w:t>
      </w:r>
      <w:r>
        <w:rPr>
          <w:sz w:val="24"/>
          <w:szCs w:val="24"/>
          <w:lang w:val="en-US"/>
        </w:rPr>
        <w:t>N</w:t>
      </w:r>
      <w:r>
        <w:rPr>
          <w:sz w:val="24"/>
          <w:szCs w:val="24"/>
        </w:rPr>
        <w:t xml:space="preserve">», де </w:t>
      </w:r>
      <w:r>
        <w:rPr>
          <w:sz w:val="24"/>
          <w:szCs w:val="24"/>
          <w:lang w:val="en-US"/>
        </w:rPr>
        <w:t>N</w:t>
      </w:r>
      <w:r>
        <w:rPr>
          <w:sz w:val="24"/>
          <w:szCs w:val="24"/>
        </w:rPr>
        <w:t xml:space="preserve"> - це номер рядка (по графі 1), в якому вказана загальна сума відповідного платежу. У графі 2 рядка, в якому вказана загальна сума платежу зазначається «Загалом по рядках </w:t>
      </w:r>
      <w:r>
        <w:rPr>
          <w:sz w:val="24"/>
          <w:szCs w:val="24"/>
          <w:lang w:val="en-US"/>
        </w:rPr>
        <w:t>N</w:t>
      </w:r>
      <w:r>
        <w:rPr>
          <w:sz w:val="24"/>
          <w:szCs w:val="24"/>
        </w:rPr>
        <w:t xml:space="preserve">1, </w:t>
      </w:r>
      <w:r>
        <w:rPr>
          <w:sz w:val="24"/>
          <w:szCs w:val="24"/>
          <w:lang w:val="en-US"/>
        </w:rPr>
        <w:t>N</w:t>
      </w:r>
      <w:r>
        <w:rPr>
          <w:sz w:val="24"/>
          <w:szCs w:val="24"/>
        </w:rPr>
        <w:t>2…..</w:t>
      </w:r>
      <w:r>
        <w:rPr>
          <w:sz w:val="24"/>
          <w:szCs w:val="24"/>
          <w:lang w:val="en-US"/>
        </w:rPr>
        <w:t>N</w:t>
      </w:r>
      <w:r>
        <w:rPr>
          <w:sz w:val="24"/>
          <w:szCs w:val="24"/>
        </w:rPr>
        <w:t>і», де</w:t>
      </w:r>
      <w:r>
        <w:rPr>
          <w:sz w:val="24"/>
          <w:szCs w:val="24"/>
          <w:lang w:val="ru-RU"/>
        </w:rPr>
        <w:t xml:space="preserve"> </w:t>
      </w:r>
      <w:r>
        <w:rPr>
          <w:sz w:val="24"/>
          <w:szCs w:val="24"/>
          <w:lang w:val="en-US"/>
        </w:rPr>
        <w:t>N</w:t>
      </w:r>
      <w:r>
        <w:rPr>
          <w:sz w:val="24"/>
          <w:szCs w:val="24"/>
          <w:lang w:val="ru-RU"/>
        </w:rPr>
        <w:t xml:space="preserve">1, </w:t>
      </w:r>
      <w:r>
        <w:rPr>
          <w:sz w:val="24"/>
          <w:szCs w:val="24"/>
          <w:lang w:val="en-US"/>
        </w:rPr>
        <w:t>N</w:t>
      </w:r>
      <w:r>
        <w:rPr>
          <w:sz w:val="24"/>
          <w:szCs w:val="24"/>
          <w:lang w:val="ru-RU"/>
        </w:rPr>
        <w:t>2….</w:t>
      </w:r>
      <w:r>
        <w:rPr>
          <w:sz w:val="24"/>
          <w:szCs w:val="24"/>
          <w:lang w:val="en-US"/>
        </w:rPr>
        <w:t>Ni</w:t>
      </w:r>
      <w:r>
        <w:rPr>
          <w:sz w:val="24"/>
          <w:szCs w:val="24"/>
          <w:lang w:val="ru-RU"/>
        </w:rPr>
        <w:t xml:space="preserve"> </w:t>
      </w:r>
      <w:r>
        <w:rPr>
          <w:sz w:val="24"/>
          <w:szCs w:val="24"/>
        </w:rPr>
        <w:t xml:space="preserve">  - це номери рядків (по графі 1), по яких сумується платіж.</w:t>
      </w:r>
    </w:p>
    <w:p>
      <w:pPr>
        <w:jc w:val="both"/>
        <w:rPr>
          <w:b/>
          <w:sz w:val="24"/>
          <w:szCs w:val="24"/>
        </w:rPr>
      </w:pPr>
      <w:r>
        <w:rPr>
          <w:b/>
          <w:sz w:val="24"/>
          <w:szCs w:val="24"/>
        </w:rPr>
        <w:t>І</w:t>
      </w:r>
      <w:r>
        <w:rPr>
          <w:b/>
          <w:sz w:val="24"/>
          <w:szCs w:val="24"/>
          <w:lang w:val="en-US"/>
        </w:rPr>
        <w:t>V</w:t>
      </w:r>
      <w:r>
        <w:rPr>
          <w:b/>
          <w:sz w:val="24"/>
          <w:szCs w:val="24"/>
        </w:rPr>
        <w:t>. Консолідований звіт про платежі на користь держави</w:t>
      </w:r>
    </w:p>
    <w:p>
      <w:pPr>
        <w:jc w:val="both"/>
        <w:rPr>
          <w:bCs/>
          <w:sz w:val="24"/>
          <w:szCs w:val="24"/>
        </w:rPr>
      </w:pPr>
      <w:r>
        <w:rPr>
          <w:bCs/>
          <w:sz w:val="24"/>
          <w:szCs w:val="24"/>
        </w:rPr>
        <w:t>1. У підрозділах 1.1-1.4 консолідованого звіту зазначаються загальні дані про респондента - материнське підприємство у видобувних галузях. Дані зазначаються з урахуванням вимог до заповнення Розділу 1 Звіту про платежі на користь держави.</w:t>
      </w:r>
    </w:p>
    <w:p>
      <w:pPr>
        <w:jc w:val="both"/>
        <w:rPr>
          <w:bCs/>
          <w:sz w:val="24"/>
          <w:szCs w:val="24"/>
        </w:rPr>
      </w:pPr>
      <w:r>
        <w:rPr>
          <w:bCs/>
          <w:sz w:val="24"/>
          <w:szCs w:val="24"/>
        </w:rPr>
        <w:t xml:space="preserve">2. У підрозділі 1.5 консолідованого звіту зазначається перелік суб’єктів господарювання, які здійснюють діяльність у видобувних галузях і над якими материнське підприємство здійснює контроль. Термін «контроль» застосовується у значенні, наведеному у Законі України «Про захист економічної конкуренції». </w:t>
      </w:r>
    </w:p>
    <w:p>
      <w:pPr>
        <w:jc w:val="both"/>
        <w:rPr>
          <w:bCs/>
          <w:sz w:val="24"/>
          <w:szCs w:val="24"/>
        </w:rPr>
      </w:pPr>
      <w:r>
        <w:rPr>
          <w:bCs/>
          <w:sz w:val="24"/>
          <w:szCs w:val="24"/>
        </w:rPr>
        <w:t>3. У підрозділах 1.6-1.10, розділах 2-5 консолідованого звіту інформація зазначається у розрізі суб’єктів господарювання, які здійснюють діяльність у видобувних галузях і над якими таке материнське підприємство здійснює контроль, з урахуванням вимог до заповнення відповідних розділів Звіту про платежі на користь держави.</w:t>
      </w:r>
    </w:p>
    <w:p>
      <w:pPr>
        <w:jc w:val="both"/>
        <w:rPr>
          <w:b/>
          <w:sz w:val="24"/>
          <w:szCs w:val="24"/>
        </w:rPr>
      </w:pPr>
    </w:p>
    <w:p>
      <w:pPr>
        <w:jc w:val="center"/>
        <w:rPr>
          <w:sz w:val="24"/>
          <w:szCs w:val="24"/>
        </w:rPr>
      </w:pPr>
      <w:r>
        <w:rPr>
          <w:sz w:val="24"/>
          <w:szCs w:val="24"/>
        </w:rPr>
        <w:t>_______</w:t>
      </w:r>
    </w:p>
    <w:sectPr>
      <w:footerReference w:type="default" r:id="rId7"/>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A328CA" w16cid:durableId="20A39DD9"/>
  <w16cid:commentId w16cid:paraId="0C9EDBDF" w16cid:durableId="20A24E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885677"/>
      <w:docPartObj>
        <w:docPartGallery w:val="Page Numbers (Bottom of Page)"/>
        <w:docPartUnique/>
      </w:docPartObj>
    </w:sdtPr>
    <w:sdtContent>
      <w:p>
        <w:pPr>
          <w:pStyle w:val="af0"/>
          <w:jc w:val="right"/>
        </w:pPr>
        <w:r>
          <w:fldChar w:fldCharType="begin"/>
        </w:r>
        <w:r>
          <w:instrText>PAGE   \* MERGEFORMAT</w:instrText>
        </w:r>
        <w:r>
          <w:fldChar w:fldCharType="separate"/>
        </w:r>
        <w:r>
          <w:rPr>
            <w:noProof/>
            <w:lang w:val="ru-RU"/>
          </w:rPr>
          <w:t>8</w:t>
        </w:r>
        <w:r>
          <w:fldChar w:fldCharType="end"/>
        </w:r>
      </w:p>
    </w:sdtContent>
  </w:sdt>
  <w:p>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BB2D4-BC51-4AD3-8710-CC94169A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 w:type="paragraph" w:styleId="a4">
    <w:name w:val="footnote text"/>
    <w:basedOn w:val="a"/>
    <w:link w:val="a5"/>
    <w:uiPriority w:val="99"/>
    <w:semiHidden/>
    <w:unhideWhenUsed/>
    <w:pPr>
      <w:spacing w:after="0" w:line="240" w:lineRule="auto"/>
    </w:pPr>
    <w:rPr>
      <w:sz w:val="20"/>
      <w:szCs w:val="20"/>
    </w:rPr>
  </w:style>
  <w:style w:type="character" w:customStyle="1" w:styleId="a5">
    <w:name w:val="Текст сноски Знак"/>
    <w:basedOn w:val="a0"/>
    <w:link w:val="a4"/>
    <w:uiPriority w:val="99"/>
    <w:semiHidden/>
    <w:rPr>
      <w:sz w:val="20"/>
      <w:szCs w:val="20"/>
    </w:rPr>
  </w:style>
  <w:style w:type="character" w:styleId="a6">
    <w:name w:val="footnote reference"/>
    <w:basedOn w:val="a0"/>
    <w:uiPriority w:val="99"/>
    <w:semiHidden/>
    <w:unhideWhenUsed/>
    <w:rPr>
      <w:vertAlign w:val="superscript"/>
    </w:rPr>
  </w:style>
  <w:style w:type="character" w:styleId="a7">
    <w:name w:val="annotation reference"/>
    <w:basedOn w:val="a0"/>
    <w:uiPriority w:val="99"/>
    <w:semiHidden/>
    <w:unhideWhenUsed/>
    <w:rPr>
      <w:sz w:val="16"/>
      <w:szCs w:val="16"/>
    </w:r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paragraph" w:styleId="aa">
    <w:name w:val="annotation subject"/>
    <w:basedOn w:val="a8"/>
    <w:next w:val="a8"/>
    <w:link w:val="ab"/>
    <w:uiPriority w:val="99"/>
    <w:semiHidden/>
    <w:unhideWhenUsed/>
    <w:rPr>
      <w:b/>
      <w:bCs/>
    </w:rPr>
  </w:style>
  <w:style w:type="character" w:customStyle="1" w:styleId="ab">
    <w:name w:val="Тема примечания Знак"/>
    <w:basedOn w:val="a9"/>
    <w:link w:val="aa"/>
    <w:uiPriority w:val="99"/>
    <w:semiHidden/>
    <w:rPr>
      <w:b/>
      <w:bCs/>
      <w:sz w:val="20"/>
      <w:szCs w:val="20"/>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hAnsi="Segoe UI" w:cs="Segoe UI"/>
      <w:sz w:val="18"/>
      <w:szCs w:val="18"/>
    </w:rPr>
  </w:style>
  <w:style w:type="paragraph" w:styleId="ae">
    <w:name w:val="header"/>
    <w:basedOn w:val="a"/>
    <w:link w:val="af"/>
    <w:uiPriority w:val="99"/>
    <w:unhideWhenUsed/>
    <w:pPr>
      <w:tabs>
        <w:tab w:val="center" w:pos="4677"/>
        <w:tab w:val="right" w:pos="9355"/>
      </w:tabs>
      <w:spacing w:after="0" w:line="240" w:lineRule="auto"/>
    </w:pPr>
  </w:style>
  <w:style w:type="character" w:customStyle="1" w:styleId="af">
    <w:name w:val="Верхний колонтитул Знак"/>
    <w:basedOn w:val="a0"/>
    <w:link w:val="ae"/>
    <w:uiPriority w:val="99"/>
  </w:style>
  <w:style w:type="paragraph" w:styleId="af0">
    <w:name w:val="footer"/>
    <w:basedOn w:val="a"/>
    <w:link w:val="af1"/>
    <w:uiPriority w:val="99"/>
    <w:unhideWhenUsed/>
    <w:pPr>
      <w:tabs>
        <w:tab w:val="center" w:pos="4677"/>
        <w:tab w:val="right" w:pos="9355"/>
      </w:tabs>
      <w:spacing w:after="0" w:line="240" w:lineRule="auto"/>
    </w:pPr>
  </w:style>
  <w:style w:type="character" w:customStyle="1" w:styleId="af1">
    <w:name w:val="Нижний колонтитул Знак"/>
    <w:basedOn w:val="a0"/>
    <w:link w:val="af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E2DD-C0D0-4E2D-AE54-2A270194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13151</Words>
  <Characters>7497</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Zagumennova</dc:creator>
  <cp:keywords/>
  <dc:description/>
  <cp:lastModifiedBy>Сергій Бідник</cp:lastModifiedBy>
  <cp:revision>31</cp:revision>
  <dcterms:created xsi:type="dcterms:W3CDTF">2019-07-29T11:18:00Z</dcterms:created>
  <dcterms:modified xsi:type="dcterms:W3CDTF">2019-07-29T13:29:00Z</dcterms:modified>
</cp:coreProperties>
</file>