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17" w:rsidRPr="00FD03C4" w:rsidRDefault="00DF465C" w:rsidP="00DF465C">
      <w:pPr>
        <w:jc w:val="center"/>
        <w:rPr>
          <w:b/>
          <w:lang w:val="uk-UA"/>
        </w:rPr>
      </w:pPr>
      <w:r w:rsidRPr="00FD03C4">
        <w:rPr>
          <w:b/>
          <w:lang w:val="uk-UA"/>
        </w:rPr>
        <w:t>Політика відкритих даних ІПВГ</w:t>
      </w:r>
    </w:p>
    <w:p w:rsidR="00DF465C" w:rsidRDefault="00DF465C" w:rsidP="00DF465C">
      <w:pPr>
        <w:jc w:val="center"/>
        <w:rPr>
          <w:lang w:val="uk-UA"/>
        </w:rPr>
      </w:pPr>
    </w:p>
    <w:p w:rsidR="00AA09B2" w:rsidRDefault="00AA09B2" w:rsidP="00DF465C">
      <w:pPr>
        <w:jc w:val="both"/>
        <w:rPr>
          <w:lang w:val="uk-UA"/>
        </w:rPr>
      </w:pPr>
      <w:r>
        <w:rPr>
          <w:lang w:val="uk-UA"/>
        </w:rPr>
        <w:t>Відповідно до Вимоги ІПВГ 7.1 Стандарту ІПВГ 2016 року</w:t>
      </w:r>
      <w:r w:rsidRPr="00AA09B2">
        <w:rPr>
          <w:lang w:val="uk-UA"/>
        </w:rPr>
        <w:t xml:space="preserve">, </w:t>
      </w:r>
      <w:r>
        <w:rPr>
          <w:lang w:val="uk-UA"/>
        </w:rPr>
        <w:t>БГЗО</w:t>
      </w:r>
      <w:r w:rsidR="00055F25">
        <w:rPr>
          <w:lang w:val="uk-UA"/>
        </w:rPr>
        <w:t>, серед іншого</w:t>
      </w:r>
      <w:r>
        <w:rPr>
          <w:lang w:val="uk-UA"/>
        </w:rPr>
        <w:t>:</w:t>
      </w:r>
    </w:p>
    <w:p w:rsidR="00DF465C" w:rsidRPr="00687BF1" w:rsidRDefault="00AA09B2" w:rsidP="00687BF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87BF1">
        <w:rPr>
          <w:lang w:val="uk-UA"/>
        </w:rPr>
        <w:t>має узгодити чітку політику щодо доступу, випуску та повторного використання даних ІПВГ. Країнам, що впроваджують ІПВГ, пропонується публікувати дані ІПВГ з відкритою ліцензією, а також інформувати користувачів про те, що інформація може бути повторно використана без попередньої згоди;</w:t>
      </w:r>
    </w:p>
    <w:p w:rsidR="00AA09B2" w:rsidRPr="00687BF1" w:rsidRDefault="00687BF1" w:rsidP="00687BF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</w:t>
      </w:r>
      <w:r w:rsidR="00AA09B2" w:rsidRPr="00687BF1">
        <w:rPr>
          <w:lang w:val="uk-UA"/>
        </w:rPr>
        <w:t>адавати Звіт ІПВГ у форматі відкритих даних (</w:t>
      </w:r>
      <w:proofErr w:type="spellStart"/>
      <w:r w:rsidR="00AA09B2" w:rsidRPr="00687BF1">
        <w:rPr>
          <w:lang w:val="en-US"/>
        </w:rPr>
        <w:t>xlsx</w:t>
      </w:r>
      <w:proofErr w:type="spellEnd"/>
      <w:r w:rsidR="00AA09B2" w:rsidRPr="00687BF1">
        <w:rPr>
          <w:lang w:val="uk-UA"/>
        </w:rPr>
        <w:t xml:space="preserve"> або </w:t>
      </w:r>
      <w:proofErr w:type="spellStart"/>
      <w:r w:rsidR="00AA09B2" w:rsidRPr="00687BF1">
        <w:rPr>
          <w:lang w:val="en-US"/>
        </w:rPr>
        <w:t>csv</w:t>
      </w:r>
      <w:proofErr w:type="spellEnd"/>
      <w:r w:rsidR="00AA09B2" w:rsidRPr="00687BF1">
        <w:rPr>
          <w:lang w:val="uk-UA"/>
        </w:rPr>
        <w:t xml:space="preserve">) </w:t>
      </w:r>
      <w:r w:rsidR="00126057" w:rsidRPr="00687BF1">
        <w:rPr>
          <w:lang w:val="uk-UA"/>
        </w:rPr>
        <w:t xml:space="preserve">в режимі </w:t>
      </w:r>
      <w:proofErr w:type="spellStart"/>
      <w:r w:rsidR="00126057" w:rsidRPr="00687BF1">
        <w:rPr>
          <w:lang w:val="uk-UA"/>
        </w:rPr>
        <w:t>онлайн</w:t>
      </w:r>
      <w:proofErr w:type="spellEnd"/>
      <w:r w:rsidR="00126057" w:rsidRPr="00687BF1">
        <w:rPr>
          <w:lang w:val="uk-UA"/>
        </w:rPr>
        <w:t xml:space="preserve"> і сповіщати про його наявність</w:t>
      </w:r>
      <w:r w:rsidR="00F65270" w:rsidRPr="00F65270">
        <w:rPr>
          <w:lang w:val="uk-UA"/>
        </w:rPr>
        <w:t>.</w:t>
      </w:r>
    </w:p>
    <w:p w:rsidR="001A4897" w:rsidRPr="00FD1683" w:rsidRDefault="00055F25" w:rsidP="00DF465C">
      <w:pPr>
        <w:jc w:val="both"/>
        <w:rPr>
          <w:lang w:val="uk-UA"/>
        </w:rPr>
      </w:pPr>
      <w:r>
        <w:rPr>
          <w:lang w:val="uk-UA"/>
        </w:rPr>
        <w:t>Відповідно до Вимоги 7.2 Стандарту ІПВГ 2016 року</w:t>
      </w:r>
      <w:r w:rsidRPr="00AA09B2">
        <w:rPr>
          <w:lang w:val="uk-UA"/>
        </w:rPr>
        <w:t xml:space="preserve">, </w:t>
      </w:r>
      <w:r>
        <w:rPr>
          <w:lang w:val="uk-UA"/>
        </w:rPr>
        <w:t xml:space="preserve">БГЗО заохочується складати Звіт ІПВГ у форматі, придатному для машинного зчитування, кодувати або маркувати Звіти ІПВГ та файли даних таким чином, щоб інформацію можна було порівняти з іншими публічно доступними даними шляхом впровадження стандартів даних ІПВГ, затверджених Правлінням. Також, відповідно до Вимоги 7.2 (с), БГЗО заохочується, якщо це виявляється юридично та технічно можливим, </w:t>
      </w:r>
      <w:r w:rsidR="005A44AD">
        <w:rPr>
          <w:lang w:val="uk-UA"/>
        </w:rPr>
        <w:t xml:space="preserve">до </w:t>
      </w:r>
      <w:r>
        <w:rPr>
          <w:lang w:val="uk-UA"/>
        </w:rPr>
        <w:t>розгля</w:t>
      </w:r>
      <w:r w:rsidR="005A44AD">
        <w:rPr>
          <w:lang w:val="uk-UA"/>
        </w:rPr>
        <w:t>ду</w:t>
      </w:r>
      <w:r>
        <w:rPr>
          <w:lang w:val="uk-UA"/>
        </w:rPr>
        <w:t xml:space="preserve"> можлив</w:t>
      </w:r>
      <w:r w:rsidR="005A44AD">
        <w:rPr>
          <w:lang w:val="uk-UA"/>
        </w:rPr>
        <w:t>остей</w:t>
      </w:r>
      <w:r>
        <w:rPr>
          <w:lang w:val="uk-UA"/>
        </w:rPr>
        <w:t xml:space="preserve"> автоматизованого розкриття на постійній основі доходів від видобувних галузей та платежів з боку уряду та компаній.</w:t>
      </w:r>
    </w:p>
    <w:p w:rsidR="00727CB9" w:rsidRDefault="00727CB9" w:rsidP="00DF465C">
      <w:pPr>
        <w:jc w:val="both"/>
        <w:rPr>
          <w:lang w:val="uk-UA"/>
        </w:rPr>
      </w:pPr>
      <w:r>
        <w:rPr>
          <w:lang w:val="uk-UA"/>
        </w:rPr>
        <w:t>Відповідно до вищезазначених вимог, пропонується наступне:</w:t>
      </w:r>
    </w:p>
    <w:p w:rsidR="00727CB9" w:rsidRPr="00FD1683" w:rsidRDefault="00F65270" w:rsidP="00FD1683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Основні дані Звітів</w:t>
      </w:r>
      <w:r w:rsidR="00727CB9" w:rsidRPr="00FD1683">
        <w:rPr>
          <w:lang w:val="uk-UA"/>
        </w:rPr>
        <w:t xml:space="preserve"> ІПВГ мають бути переведені</w:t>
      </w:r>
      <w:r w:rsidR="001A4897" w:rsidRPr="00FD1683">
        <w:rPr>
          <w:lang w:val="uk-UA"/>
        </w:rPr>
        <w:t xml:space="preserve"> у формат </w:t>
      </w:r>
      <w:proofErr w:type="spellStart"/>
      <w:r w:rsidR="001A4897" w:rsidRPr="00FD1683">
        <w:rPr>
          <w:lang w:val="en-US"/>
        </w:rPr>
        <w:t>xlsx</w:t>
      </w:r>
      <w:proofErr w:type="spellEnd"/>
      <w:r w:rsidR="001A4897" w:rsidRPr="00FD1683">
        <w:rPr>
          <w:lang w:val="uk-UA"/>
        </w:rPr>
        <w:t xml:space="preserve"> та опубліковані на сайті  </w:t>
      </w:r>
      <w:proofErr w:type="spellStart"/>
      <w:r w:rsidR="001A4897" w:rsidRPr="00FD1683">
        <w:rPr>
          <w:lang w:val="en-US"/>
        </w:rPr>
        <w:t>eiti</w:t>
      </w:r>
      <w:proofErr w:type="spellEnd"/>
      <w:r w:rsidR="001A4897" w:rsidRPr="00FD1683">
        <w:rPr>
          <w:lang w:val="uk-UA"/>
        </w:rPr>
        <w:t>.</w:t>
      </w:r>
      <w:r w:rsidR="001A4897" w:rsidRPr="00FD1683">
        <w:rPr>
          <w:lang w:val="en-US"/>
        </w:rPr>
        <w:t>org</w:t>
      </w:r>
      <w:r w:rsidR="001A4897" w:rsidRPr="00FD1683">
        <w:rPr>
          <w:lang w:val="uk-UA"/>
        </w:rPr>
        <w:t>.</w:t>
      </w:r>
      <w:proofErr w:type="spellStart"/>
      <w:r w:rsidR="001A4897" w:rsidRPr="00FD1683">
        <w:rPr>
          <w:lang w:val="en-US"/>
        </w:rPr>
        <w:t>ua</w:t>
      </w:r>
      <w:proofErr w:type="spellEnd"/>
      <w:r w:rsidR="001A4897" w:rsidRPr="00FD1683">
        <w:rPr>
          <w:lang w:val="uk-UA"/>
        </w:rPr>
        <w:t>;</w:t>
      </w:r>
    </w:p>
    <w:p w:rsidR="001A4897" w:rsidRPr="00FD1683" w:rsidRDefault="001A4897" w:rsidP="00FD1683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FD1683">
        <w:rPr>
          <w:lang w:val="uk-UA"/>
        </w:rPr>
        <w:t xml:space="preserve">Зазначені вище дані будуть </w:t>
      </w:r>
      <w:r w:rsidR="005A44AD">
        <w:rPr>
          <w:lang w:val="uk-UA"/>
        </w:rPr>
        <w:t>оприлюднені</w:t>
      </w:r>
      <w:r w:rsidR="005A44AD" w:rsidRPr="00FD1683">
        <w:rPr>
          <w:lang w:val="uk-UA"/>
        </w:rPr>
        <w:t xml:space="preserve"> </w:t>
      </w:r>
      <w:r w:rsidRPr="00FD1683">
        <w:rPr>
          <w:lang w:val="uk-UA"/>
        </w:rPr>
        <w:t xml:space="preserve">на веб-сайті відразу після публікації Звіту та оновлюватимуться </w:t>
      </w:r>
      <w:r w:rsidR="00143950" w:rsidRPr="00FD1683">
        <w:rPr>
          <w:lang w:val="uk-UA"/>
        </w:rPr>
        <w:t xml:space="preserve">щорічно після </w:t>
      </w:r>
      <w:r w:rsidR="005A44AD">
        <w:rPr>
          <w:lang w:val="uk-UA"/>
        </w:rPr>
        <w:t>випуску кожного чергового</w:t>
      </w:r>
      <w:r w:rsidR="00FD03C4">
        <w:rPr>
          <w:lang w:val="uk-UA"/>
        </w:rPr>
        <w:t xml:space="preserve"> Звіту ІПВГ. Гр</w:t>
      </w:r>
      <w:r w:rsidR="00143950" w:rsidRPr="00FD1683">
        <w:rPr>
          <w:lang w:val="uk-UA"/>
        </w:rPr>
        <w:t>омадськість буде поінформована про публікацію даних шляхом відповідного оприлюднення новини через соціальні мережі</w:t>
      </w:r>
      <w:r w:rsidR="00727A55" w:rsidRPr="00FD1683">
        <w:rPr>
          <w:lang w:val="uk-UA"/>
        </w:rPr>
        <w:t xml:space="preserve"> (с</w:t>
      </w:r>
      <w:r w:rsidR="007645D3" w:rsidRPr="00FD1683">
        <w:rPr>
          <w:lang w:val="uk-UA"/>
        </w:rPr>
        <w:t xml:space="preserve">торінку </w:t>
      </w:r>
      <w:proofErr w:type="spellStart"/>
      <w:r w:rsidR="007645D3" w:rsidRPr="00FD1683">
        <w:rPr>
          <w:lang w:val="uk-UA"/>
        </w:rPr>
        <w:t>ф</w:t>
      </w:r>
      <w:r w:rsidR="00727A55" w:rsidRPr="00FD1683">
        <w:rPr>
          <w:lang w:val="uk-UA"/>
        </w:rPr>
        <w:t>ейсбук</w:t>
      </w:r>
      <w:proofErr w:type="spellEnd"/>
      <w:r w:rsidR="00727A55" w:rsidRPr="00FD1683">
        <w:rPr>
          <w:lang w:val="uk-UA"/>
        </w:rPr>
        <w:t xml:space="preserve">, </w:t>
      </w:r>
      <w:proofErr w:type="spellStart"/>
      <w:r w:rsidR="00727A55" w:rsidRPr="00FD1683">
        <w:rPr>
          <w:lang w:val="uk-UA"/>
        </w:rPr>
        <w:t>твіттер</w:t>
      </w:r>
      <w:proofErr w:type="spellEnd"/>
      <w:r w:rsidR="00727A55" w:rsidRPr="00FD1683">
        <w:rPr>
          <w:lang w:val="uk-UA"/>
        </w:rPr>
        <w:t>), веб-сайт ІПВГ України, веб-сайт Міненерговугілля, тощо;</w:t>
      </w:r>
    </w:p>
    <w:p w:rsidR="00727A55" w:rsidRPr="00FD1683" w:rsidRDefault="00727A55" w:rsidP="00FD1683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FD1683">
        <w:rPr>
          <w:lang w:val="uk-UA"/>
        </w:rPr>
        <w:t xml:space="preserve">Зазначені вище дані можуть бути використані з посиланням на джерело. Під словом «використання» мається на увазі використання для аналізу, </w:t>
      </w:r>
      <w:r w:rsidR="007645D3" w:rsidRPr="00FD1683">
        <w:rPr>
          <w:lang w:val="uk-UA"/>
        </w:rPr>
        <w:t>розробки та поширення матеріалів на основі даних</w:t>
      </w:r>
      <w:r w:rsidR="005A44AD">
        <w:rPr>
          <w:lang w:val="uk-UA"/>
        </w:rPr>
        <w:t xml:space="preserve"> із відповідного звіту ІПВГ</w:t>
      </w:r>
      <w:r w:rsidR="007645D3" w:rsidRPr="00FD1683">
        <w:rPr>
          <w:lang w:val="uk-UA"/>
        </w:rPr>
        <w:t>;</w:t>
      </w:r>
    </w:p>
    <w:p w:rsidR="00FD1683" w:rsidRPr="00FD03C4" w:rsidRDefault="007645D3" w:rsidP="00FD1683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FD1683">
        <w:rPr>
          <w:lang w:val="uk-UA"/>
        </w:rPr>
        <w:t>Прогрес щодо роботи з відкритими даними</w:t>
      </w:r>
      <w:r w:rsidR="00FD1683" w:rsidRPr="00FD1683">
        <w:rPr>
          <w:lang w:val="uk-UA"/>
        </w:rPr>
        <w:t xml:space="preserve"> буде відслідковуватися та оцінюватися у щорічному Звіті про прогрес.</w:t>
      </w:r>
    </w:p>
    <w:p w:rsidR="00FD1683" w:rsidRPr="00FD1683" w:rsidRDefault="00FD1683" w:rsidP="00FD1683">
      <w:pPr>
        <w:jc w:val="both"/>
        <w:rPr>
          <w:lang w:val="uk-UA"/>
        </w:rPr>
      </w:pPr>
      <w:r>
        <w:rPr>
          <w:lang w:val="uk-UA"/>
        </w:rPr>
        <w:t xml:space="preserve">Необхідно зазначити, що робота над автоматизацією збору даних, їх відкриттю у вільний онлайн доступ буде одним з пріоритетів </w:t>
      </w:r>
      <w:r w:rsidR="005A44AD">
        <w:rPr>
          <w:lang w:val="uk-UA"/>
        </w:rPr>
        <w:t xml:space="preserve">БГЗО з просування </w:t>
      </w:r>
      <w:r>
        <w:rPr>
          <w:lang w:val="uk-UA"/>
        </w:rPr>
        <w:t xml:space="preserve">ІПВГ </w:t>
      </w:r>
      <w:r w:rsidR="005A44AD">
        <w:rPr>
          <w:lang w:val="uk-UA"/>
        </w:rPr>
        <w:t xml:space="preserve">в </w:t>
      </w:r>
      <w:r>
        <w:rPr>
          <w:lang w:val="uk-UA"/>
        </w:rPr>
        <w:t>Україн</w:t>
      </w:r>
      <w:r w:rsidR="005A44AD">
        <w:rPr>
          <w:lang w:val="uk-UA"/>
        </w:rPr>
        <w:t>і</w:t>
      </w:r>
      <w:r>
        <w:rPr>
          <w:lang w:val="uk-UA"/>
        </w:rPr>
        <w:t>. Наразі переговори з донорами включають питання виділення коштів для створення електронної платформи задля онлайн звітування та онлайн доступу до даних ІПВГ, отриманих від підзвітних установ (як з боку компаній. так і з боку уряду). Плануєт</w:t>
      </w:r>
      <w:bookmarkStart w:id="0" w:name="_GoBack"/>
      <w:bookmarkEnd w:id="0"/>
      <w:r>
        <w:rPr>
          <w:lang w:val="uk-UA"/>
        </w:rPr>
        <w:t>ься</w:t>
      </w:r>
      <w:r w:rsidR="00FD03C4">
        <w:rPr>
          <w:lang w:val="uk-UA"/>
        </w:rPr>
        <w:t>, щ</w:t>
      </w:r>
      <w:r>
        <w:rPr>
          <w:lang w:val="uk-UA"/>
        </w:rPr>
        <w:t xml:space="preserve">о платформа потенційно може бути інтегрована до системи електронного врядування. </w:t>
      </w:r>
    </w:p>
    <w:p w:rsidR="00FD1683" w:rsidRPr="00FD1683" w:rsidRDefault="00FD1683" w:rsidP="00FD03C4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У країні існує тенденція щодо онлайн розкриття даних та покращення доступу до інформації. В цьому світлі передбачено декілька проектів задля вдосконалення електронного врядування. Наприклад, нещодавно було анонсовано  </w:t>
      </w:r>
      <w:r w:rsidRPr="00FD1683">
        <w:rPr>
          <w:lang w:val="uk-UA"/>
        </w:rPr>
        <w:t>п’ятирічний проект «Прозорість та підзвітність у державному адмініструванні та послугах»</w:t>
      </w:r>
      <w:r w:rsidR="00FD03C4">
        <w:rPr>
          <w:lang w:val="uk-UA"/>
        </w:rPr>
        <w:t>, що впроваджується</w:t>
      </w:r>
      <w:r w:rsidR="00FD03C4" w:rsidRPr="00FD03C4">
        <w:rPr>
          <w:lang w:val="uk-UA"/>
        </w:rPr>
        <w:t xml:space="preserve"> Міністерство</w:t>
      </w:r>
      <w:r w:rsidR="00FD03C4">
        <w:rPr>
          <w:lang w:val="uk-UA"/>
        </w:rPr>
        <w:t>м</w:t>
      </w:r>
      <w:r w:rsidR="00FD03C4" w:rsidRPr="00FD03C4">
        <w:rPr>
          <w:lang w:val="uk-UA"/>
        </w:rPr>
        <w:t xml:space="preserve"> економічного розвитку і торгівлі України спільно з </w:t>
      </w:r>
      <w:proofErr w:type="spellStart"/>
      <w:r w:rsidR="00FD03C4" w:rsidRPr="00FD03C4">
        <w:rPr>
          <w:lang w:val="uk-UA"/>
        </w:rPr>
        <w:t>Держагентством</w:t>
      </w:r>
      <w:proofErr w:type="spellEnd"/>
      <w:r w:rsidR="00FD03C4" w:rsidRPr="00FD03C4">
        <w:rPr>
          <w:lang w:val="uk-UA"/>
        </w:rPr>
        <w:t xml:space="preserve"> з питань електронного урядування, Агентством США з міжнародного розвитку (USAID) і Урядом Великої Британії</w:t>
      </w:r>
      <w:r w:rsidR="00FD03C4">
        <w:rPr>
          <w:lang w:val="uk-UA"/>
        </w:rPr>
        <w:t xml:space="preserve"> </w:t>
      </w:r>
      <w:r w:rsidRPr="00FD1683">
        <w:rPr>
          <w:lang w:val="uk-UA"/>
        </w:rPr>
        <w:t xml:space="preserve">. </w:t>
      </w:r>
    </w:p>
    <w:p w:rsidR="00FD1683" w:rsidRDefault="00FD1683" w:rsidP="00905388">
      <w:pPr>
        <w:pStyle w:val="a3"/>
        <w:ind w:left="0"/>
        <w:jc w:val="both"/>
        <w:rPr>
          <w:lang w:val="uk-UA"/>
        </w:rPr>
      </w:pPr>
      <w:r w:rsidRPr="00FD1683">
        <w:rPr>
          <w:lang w:val="uk-UA"/>
        </w:rPr>
        <w:lastRenderedPageBreak/>
        <w:t>Головне завдання проекту - прискорити процес реформ у таких ключових сферах, як електронні закупівлі, відкриті дані та електронні послуги. Серед іншого, мова йде про регулярну публікацію даних мі</w:t>
      </w:r>
      <w:r w:rsidR="00905388">
        <w:rPr>
          <w:lang w:val="uk-UA"/>
        </w:rPr>
        <w:t>ністерствами і муніципалітетами, а</w:t>
      </w:r>
      <w:r w:rsidRPr="00FD1683">
        <w:rPr>
          <w:lang w:val="uk-UA"/>
        </w:rPr>
        <w:t xml:space="preserve"> також про інтеграцію ключових державних </w:t>
      </w:r>
      <w:r w:rsidR="00905388">
        <w:rPr>
          <w:lang w:val="uk-UA"/>
        </w:rPr>
        <w:t>реєстрів</w:t>
      </w:r>
      <w:r w:rsidR="005A44AD">
        <w:rPr>
          <w:lang w:val="uk-UA"/>
        </w:rPr>
        <w:t>.</w:t>
      </w:r>
      <w:r w:rsidR="00905388">
        <w:rPr>
          <w:lang w:val="uk-UA"/>
        </w:rPr>
        <w:t xml:space="preserve"> Тому важливо забезпечити, щоб розкриття даних ІПВГ відбувалося синхронно з іншими проектами, що дозволить інтегрування електронних систем в загальну політику держави.</w:t>
      </w:r>
    </w:p>
    <w:p w:rsidR="00D205D6" w:rsidRDefault="00D205D6" w:rsidP="00905388">
      <w:pPr>
        <w:pStyle w:val="a3"/>
        <w:ind w:left="0"/>
        <w:jc w:val="both"/>
        <w:rPr>
          <w:lang w:val="uk-UA"/>
        </w:rPr>
      </w:pPr>
    </w:p>
    <w:p w:rsidR="00D205D6" w:rsidRPr="00D205D6" w:rsidRDefault="00D205D6" w:rsidP="00D205D6">
      <w:pPr>
        <w:pStyle w:val="a3"/>
        <w:ind w:left="0"/>
        <w:jc w:val="both"/>
        <w:rPr>
          <w:lang w:val="uk-UA"/>
        </w:rPr>
      </w:pPr>
      <w:r>
        <w:rPr>
          <w:lang w:val="uk-UA"/>
        </w:rPr>
        <w:t>Не</w:t>
      </w:r>
      <w:r w:rsidR="00FD03C4">
        <w:rPr>
          <w:lang w:val="uk-UA"/>
        </w:rPr>
        <w:t xml:space="preserve"> </w:t>
      </w:r>
      <w:r>
        <w:rPr>
          <w:lang w:val="uk-UA"/>
        </w:rPr>
        <w:t xml:space="preserve">дивлячись на  прогрес у розкритті даних, зокрема наявність </w:t>
      </w:r>
      <w:proofErr w:type="spellStart"/>
      <w:r>
        <w:rPr>
          <w:lang w:val="uk-UA"/>
        </w:rPr>
        <w:t>онлайн</w:t>
      </w:r>
      <w:proofErr w:type="spellEnd"/>
      <w:r>
        <w:rPr>
          <w:lang w:val="uk-UA"/>
        </w:rPr>
        <w:t xml:space="preserve"> реєстрів спецдозволів на користування надрами, відповідних карт </w:t>
      </w:r>
      <w:hyperlink r:id="rId6" w:history="1">
        <w:r w:rsidRPr="00826537">
          <w:rPr>
            <w:rStyle w:val="a4"/>
            <w:lang w:val="uk-UA"/>
          </w:rPr>
          <w:t>http://geoinf.kiev.ua/wp/interaktyvni-karty-spetsdozvoliv.htm</w:t>
        </w:r>
      </w:hyperlink>
      <w:r>
        <w:rPr>
          <w:lang w:val="uk-UA"/>
        </w:rPr>
        <w:t xml:space="preserve"> , відкритого Єдиного державного реєстру юридичних осіб та фізичних осіб підприємців, який н</w:t>
      </w:r>
      <w:r w:rsidR="00DB1DF1">
        <w:rPr>
          <w:lang w:val="uk-UA"/>
        </w:rPr>
        <w:t xml:space="preserve">адає інформацію про кінцевих </w:t>
      </w:r>
      <w:proofErr w:type="spellStart"/>
      <w:r w:rsidR="00DB1DF1">
        <w:rPr>
          <w:lang w:val="uk-UA"/>
        </w:rPr>
        <w:t>бен</w:t>
      </w:r>
      <w:r>
        <w:rPr>
          <w:lang w:val="uk-UA"/>
        </w:rPr>
        <w:t>ефіціарних</w:t>
      </w:r>
      <w:proofErr w:type="spellEnd"/>
      <w:r>
        <w:rPr>
          <w:lang w:val="uk-UA"/>
        </w:rPr>
        <w:t xml:space="preserve"> власників</w:t>
      </w:r>
      <w:r w:rsidRPr="00D205D6">
        <w:rPr>
          <w:lang w:val="uk-UA"/>
        </w:rPr>
        <w:t xml:space="preserve"> </w:t>
      </w:r>
      <w:hyperlink r:id="rId7" w:history="1">
        <w:r w:rsidRPr="00826537">
          <w:rPr>
            <w:rStyle w:val="a4"/>
            <w:lang w:val="en-US"/>
          </w:rPr>
          <w:t>https</w:t>
        </w:r>
        <w:r w:rsidRPr="00D205D6">
          <w:rPr>
            <w:rStyle w:val="a4"/>
            <w:lang w:val="uk-UA"/>
          </w:rPr>
          <w:t>://</w:t>
        </w:r>
        <w:proofErr w:type="spellStart"/>
        <w:r w:rsidRPr="00826537">
          <w:rPr>
            <w:rStyle w:val="a4"/>
            <w:lang w:val="en-US"/>
          </w:rPr>
          <w:t>usr</w:t>
        </w:r>
        <w:proofErr w:type="spellEnd"/>
        <w:r w:rsidRPr="00D205D6">
          <w:rPr>
            <w:rStyle w:val="a4"/>
            <w:lang w:val="uk-UA"/>
          </w:rPr>
          <w:t>.</w:t>
        </w:r>
        <w:proofErr w:type="spellStart"/>
        <w:r w:rsidRPr="00826537">
          <w:rPr>
            <w:rStyle w:val="a4"/>
            <w:lang w:val="en-US"/>
          </w:rPr>
          <w:t>minjust</w:t>
        </w:r>
        <w:proofErr w:type="spellEnd"/>
        <w:r w:rsidRPr="00D205D6">
          <w:rPr>
            <w:rStyle w:val="a4"/>
            <w:lang w:val="uk-UA"/>
          </w:rPr>
          <w:t>.</w:t>
        </w:r>
        <w:proofErr w:type="spellStart"/>
        <w:r w:rsidRPr="00826537">
          <w:rPr>
            <w:rStyle w:val="a4"/>
            <w:lang w:val="en-US"/>
          </w:rPr>
          <w:t>gov</w:t>
        </w:r>
        <w:proofErr w:type="spellEnd"/>
        <w:r w:rsidRPr="00D205D6">
          <w:rPr>
            <w:rStyle w:val="a4"/>
            <w:lang w:val="uk-UA"/>
          </w:rPr>
          <w:t>.</w:t>
        </w:r>
        <w:proofErr w:type="spellStart"/>
        <w:r w:rsidRPr="00826537">
          <w:rPr>
            <w:rStyle w:val="a4"/>
            <w:lang w:val="en-US"/>
          </w:rPr>
          <w:t>ua</w:t>
        </w:r>
        <w:proofErr w:type="spellEnd"/>
        <w:r w:rsidRPr="00D205D6">
          <w:rPr>
            <w:rStyle w:val="a4"/>
            <w:lang w:val="uk-UA"/>
          </w:rPr>
          <w:t>/</w:t>
        </w:r>
        <w:proofErr w:type="spellStart"/>
        <w:r w:rsidRPr="00826537">
          <w:rPr>
            <w:rStyle w:val="a4"/>
            <w:lang w:val="en-US"/>
          </w:rPr>
          <w:t>ua</w:t>
        </w:r>
        <w:proofErr w:type="spellEnd"/>
        <w:r w:rsidRPr="00D205D6">
          <w:rPr>
            <w:rStyle w:val="a4"/>
            <w:lang w:val="uk-UA"/>
          </w:rPr>
          <w:t>/</w:t>
        </w:r>
        <w:proofErr w:type="spellStart"/>
        <w:r w:rsidRPr="00826537">
          <w:rPr>
            <w:rStyle w:val="a4"/>
            <w:lang w:val="en-US"/>
          </w:rPr>
          <w:t>freesearch</w:t>
        </w:r>
        <w:proofErr w:type="spellEnd"/>
      </w:hyperlink>
      <w:r w:rsidRPr="00D205D6">
        <w:rPr>
          <w:lang w:val="uk-UA"/>
        </w:rPr>
        <w:t xml:space="preserve">  </w:t>
      </w:r>
      <w:r>
        <w:rPr>
          <w:lang w:val="uk-UA"/>
        </w:rPr>
        <w:t>, необхідно прикласти подальші зусилля для забезпечення відкриття інформації для вільного доступу широких кіл громадськості у країні.</w:t>
      </w:r>
    </w:p>
    <w:p w:rsidR="00D205D6" w:rsidRPr="00DB1DF1" w:rsidRDefault="00D205D6" w:rsidP="00D205D6">
      <w:pPr>
        <w:pStyle w:val="a3"/>
        <w:ind w:left="0"/>
        <w:jc w:val="both"/>
        <w:rPr>
          <w:lang w:val="uk-UA"/>
        </w:rPr>
      </w:pPr>
    </w:p>
    <w:p w:rsidR="00FD1683" w:rsidRPr="00F65270" w:rsidRDefault="00FD1683" w:rsidP="00DF465C">
      <w:pPr>
        <w:jc w:val="both"/>
        <w:rPr>
          <w:lang w:val="en-US"/>
        </w:rPr>
      </w:pPr>
    </w:p>
    <w:p w:rsidR="00FD1683" w:rsidRPr="001A4897" w:rsidRDefault="00FD1683" w:rsidP="00DF465C">
      <w:pPr>
        <w:jc w:val="both"/>
        <w:rPr>
          <w:lang w:val="uk-UA"/>
        </w:rPr>
      </w:pPr>
    </w:p>
    <w:p w:rsidR="00055F25" w:rsidRDefault="00055F25" w:rsidP="00DF465C">
      <w:pPr>
        <w:jc w:val="both"/>
        <w:rPr>
          <w:lang w:val="uk-UA"/>
        </w:rPr>
      </w:pPr>
    </w:p>
    <w:p w:rsidR="00055F25" w:rsidRPr="001A4897" w:rsidRDefault="00055F25" w:rsidP="00DF465C">
      <w:pPr>
        <w:jc w:val="both"/>
        <w:rPr>
          <w:lang w:val="uk-UA"/>
        </w:rPr>
      </w:pPr>
    </w:p>
    <w:sectPr w:rsidR="00055F25" w:rsidRPr="001A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B2D"/>
    <w:multiLevelType w:val="hybridMultilevel"/>
    <w:tmpl w:val="A2B45B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FE41F75"/>
    <w:multiLevelType w:val="hybridMultilevel"/>
    <w:tmpl w:val="F8A8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B4314"/>
    <w:multiLevelType w:val="hybridMultilevel"/>
    <w:tmpl w:val="0EA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ii Chubyk">
    <w15:presenceInfo w15:providerId="None" w15:userId="Andrii Chub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5C"/>
    <w:rsid w:val="00055F25"/>
    <w:rsid w:val="00126057"/>
    <w:rsid w:val="00143950"/>
    <w:rsid w:val="001A4897"/>
    <w:rsid w:val="005A44AD"/>
    <w:rsid w:val="00687BF1"/>
    <w:rsid w:val="00727A55"/>
    <w:rsid w:val="00727CB9"/>
    <w:rsid w:val="007645D3"/>
    <w:rsid w:val="00905388"/>
    <w:rsid w:val="009B65DE"/>
    <w:rsid w:val="00AA09B2"/>
    <w:rsid w:val="00AB6517"/>
    <w:rsid w:val="00D205D6"/>
    <w:rsid w:val="00DB1DF1"/>
    <w:rsid w:val="00DF465C"/>
    <w:rsid w:val="00E60BF9"/>
    <w:rsid w:val="00F65270"/>
    <w:rsid w:val="00F863BF"/>
    <w:rsid w:val="00FD03C4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05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05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r.minjust.gov.ua/ua/fre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inf.kiev.ua/wp/interaktyvni-karty-spetsdozvoliv.htm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</dc:creator>
  <cp:lastModifiedBy>DeeN</cp:lastModifiedBy>
  <cp:revision>9</cp:revision>
  <dcterms:created xsi:type="dcterms:W3CDTF">2016-12-07T08:50:00Z</dcterms:created>
  <dcterms:modified xsi:type="dcterms:W3CDTF">2016-12-27T08:11:00Z</dcterms:modified>
</cp:coreProperties>
</file>