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555B7" w:rsidRDefault="006555B7" w:rsidP="006555B7">
      <w:pPr>
        <w:spacing w:after="120" w:line="240" w:lineRule="auto"/>
        <w:jc w:val="both"/>
        <w:rPr>
          <w:b/>
        </w:rPr>
      </w:pPr>
      <w:r>
        <w:fldChar w:fldCharType="begin"/>
      </w:r>
      <w:r>
        <w:instrText>HYPERLINK "http://www.sec.gov/rules/final/2012/34-67717.pdf"</w:instrText>
      </w:r>
      <w:r>
        <w:fldChar w:fldCharType="separate"/>
      </w:r>
      <w:proofErr w:type="spellStart"/>
      <w:r>
        <w:rPr>
          <w:rStyle w:val="a6"/>
          <w:b/>
        </w:rPr>
        <w:t>http</w:t>
      </w:r>
      <w:proofErr w:type="spellEnd"/>
      <w:r>
        <w:rPr>
          <w:rStyle w:val="a6"/>
          <w:b/>
        </w:rPr>
        <w:t>://</w:t>
      </w:r>
      <w:proofErr w:type="spellStart"/>
      <w:r>
        <w:rPr>
          <w:rStyle w:val="a6"/>
          <w:b/>
        </w:rPr>
        <w:t>www.sec.gov</w:t>
      </w:r>
      <w:proofErr w:type="spellEnd"/>
      <w:r>
        <w:rPr>
          <w:rStyle w:val="a6"/>
          <w:b/>
        </w:rPr>
        <w:t>/</w:t>
      </w:r>
      <w:proofErr w:type="spellStart"/>
      <w:r>
        <w:rPr>
          <w:rStyle w:val="a6"/>
          <w:b/>
        </w:rPr>
        <w:t>rules</w:t>
      </w:r>
      <w:proofErr w:type="spellEnd"/>
      <w:r>
        <w:rPr>
          <w:rStyle w:val="a6"/>
          <w:b/>
        </w:rPr>
        <w:t>/</w:t>
      </w:r>
      <w:proofErr w:type="spellStart"/>
      <w:r>
        <w:rPr>
          <w:rStyle w:val="a6"/>
          <w:b/>
        </w:rPr>
        <w:t>final</w:t>
      </w:r>
      <w:proofErr w:type="spellEnd"/>
      <w:r>
        <w:rPr>
          <w:rStyle w:val="a6"/>
          <w:b/>
        </w:rPr>
        <w:t>/2012/34-</w:t>
      </w:r>
      <w:proofErr w:type="spellStart"/>
      <w:r>
        <w:rPr>
          <w:rStyle w:val="a6"/>
          <w:b/>
        </w:rPr>
        <w:t>67717.pdf</w:t>
      </w:r>
      <w:proofErr w:type="spellEnd"/>
      <w:r>
        <w:fldChar w:fldCharType="end"/>
      </w:r>
      <w:r>
        <w:rPr>
          <w:b/>
        </w:rPr>
        <w:t xml:space="preserve"> </w:t>
      </w:r>
    </w:p>
    <w:p w:rsidR="002A191F" w:rsidRPr="005D27EF" w:rsidRDefault="002A191F" w:rsidP="006555B7">
      <w:pPr>
        <w:spacing w:after="120" w:line="240" w:lineRule="auto"/>
        <w:jc w:val="both"/>
        <w:rPr>
          <w:b/>
        </w:rPr>
      </w:pPr>
      <w:r>
        <w:rPr>
          <w:b/>
        </w:rPr>
        <w:t>КОМІСІЯ З ЦІННИХ ПАПЕРІВ ТА ФОНДОВИХ БІРЖ США</w:t>
      </w:r>
    </w:p>
    <w:p w:rsidR="002A191F" w:rsidRPr="005D27EF" w:rsidRDefault="002A191F" w:rsidP="006555B7">
      <w:pPr>
        <w:spacing w:after="120" w:line="240" w:lineRule="auto"/>
        <w:jc w:val="both"/>
        <w:rPr>
          <w:b/>
        </w:rPr>
      </w:pPr>
      <w:r>
        <w:rPr>
          <w:b/>
        </w:rPr>
        <w:t>Збірник федеральних норм та правил</w:t>
      </w:r>
      <w:r w:rsidR="00CC50B4">
        <w:rPr>
          <w:b/>
        </w:rPr>
        <w:t>, книга 17</w:t>
      </w:r>
      <w:r>
        <w:rPr>
          <w:b/>
        </w:rPr>
        <w:t xml:space="preserve"> - Частини 240 та 249</w:t>
      </w:r>
    </w:p>
    <w:p w:rsidR="002A191F" w:rsidRPr="005D27EF" w:rsidRDefault="002A191F" w:rsidP="006555B7">
      <w:pPr>
        <w:spacing w:after="120" w:line="240" w:lineRule="auto"/>
        <w:jc w:val="both"/>
        <w:rPr>
          <w:b/>
        </w:rPr>
      </w:pPr>
      <w:r>
        <w:rPr>
          <w:b/>
        </w:rPr>
        <w:t>[Випуск № 34-67717; Справа № S7-42-10]</w:t>
      </w:r>
    </w:p>
    <w:p w:rsidR="002A191F" w:rsidRPr="005D27EF" w:rsidRDefault="002A191F" w:rsidP="006555B7">
      <w:pPr>
        <w:spacing w:after="120" w:line="240" w:lineRule="auto"/>
        <w:jc w:val="both"/>
        <w:rPr>
          <w:b/>
        </w:rPr>
      </w:pPr>
      <w:r>
        <w:rPr>
          <w:b/>
        </w:rPr>
        <w:t>RIN 3235-AK85</w:t>
      </w:r>
    </w:p>
    <w:p w:rsidR="002A191F" w:rsidRPr="005D27EF" w:rsidRDefault="002A191F" w:rsidP="006555B7">
      <w:pPr>
        <w:spacing w:after="120" w:line="240" w:lineRule="auto"/>
        <w:jc w:val="both"/>
        <w:rPr>
          <w:b/>
        </w:rPr>
      </w:pPr>
      <w:r>
        <w:rPr>
          <w:b/>
        </w:rPr>
        <w:t>Розкриття інформації про платежі з боку видобувних підприємств</w:t>
      </w:r>
    </w:p>
    <w:p w:rsidR="002A191F" w:rsidRPr="002A191F" w:rsidRDefault="002A191F" w:rsidP="006555B7">
      <w:pPr>
        <w:spacing w:after="120" w:line="240" w:lineRule="auto"/>
        <w:jc w:val="both"/>
      </w:pPr>
      <w:r>
        <w:rPr>
          <w:b/>
        </w:rPr>
        <w:t>АГЕНТСТВО:</w:t>
      </w:r>
      <w:r>
        <w:t xml:space="preserve"> Комісія з цінних паперів та фондових бірж США.</w:t>
      </w:r>
    </w:p>
    <w:p w:rsidR="002A191F" w:rsidRPr="002A191F" w:rsidRDefault="002A191F" w:rsidP="006555B7">
      <w:pPr>
        <w:spacing w:after="120" w:line="240" w:lineRule="auto"/>
        <w:jc w:val="both"/>
      </w:pPr>
      <w:r>
        <w:rPr>
          <w:b/>
        </w:rPr>
        <w:t>ДІЯ</w:t>
      </w:r>
      <w:r>
        <w:t>: Остаточне правило.</w:t>
      </w:r>
    </w:p>
    <w:p w:rsidR="002A191F" w:rsidRDefault="002A191F" w:rsidP="006555B7">
      <w:pPr>
        <w:spacing w:after="120" w:line="240" w:lineRule="auto"/>
        <w:jc w:val="both"/>
      </w:pPr>
      <w:r>
        <w:rPr>
          <w:b/>
        </w:rPr>
        <w:t>СТИСЛИЙ ВИКЛАД</w:t>
      </w:r>
      <w:r w:rsidR="005251CC">
        <w:t xml:space="preserve">: Ми погоджуємо нові правила </w:t>
      </w:r>
      <w:r w:rsidR="00560C3E">
        <w:t>та</w:t>
      </w:r>
      <w:r>
        <w:t xml:space="preserve"> внесення змін до нової форми відповідно до Розділу 1504 Закону Додда-Франка про реформу Волл-стріт та захист споживачів стосовно розкриття інформації про платежі з боку видобувних підприємств. Розділ 1504 додав Розділ 13(q) до Закону про цінні папери 1934 року, який вимагає, щоб Комісія видала пр</w:t>
      </w:r>
      <w:r w:rsidR="00C91158">
        <w:t>авила, які зобо</w:t>
      </w:r>
      <w:r>
        <w:t>в'язуватимуть видобувні підприємства включати у річний звіт інформацію, пов'язану з будь-якими платежами, здійсненими такими підприємствами, їхніми дочірніми компаніями або установами, які перебувають під контролем таких підприємств, на користь іноземного уряду або Федерального уряду з метою промислової розробки нафти, газу або корисних копалин. Розділ 13(q) вимагає від видобувного підприє</w:t>
      </w:r>
      <w:r w:rsidR="00C91158">
        <w:t>мства надання інформації про тип</w:t>
      </w:r>
      <w:r>
        <w:t xml:space="preserve"> і загальну суму таких платежів, здійснених в рамках кожного проекту, пов'язаного з промисловою розробкою нафти, газу або корисних копалин, а також про тип і загальну суму платежів, здійснених на користь кожного уряду. До того ж, Розділ 13(q) вимагає від видобувного підприємства надання інформації стосовно таких платежів у форматі інтерактивних даних.</w:t>
      </w:r>
    </w:p>
    <w:p w:rsidR="002A191F" w:rsidRDefault="002A191F" w:rsidP="006555B7">
      <w:pPr>
        <w:spacing w:after="120" w:line="240" w:lineRule="auto"/>
        <w:jc w:val="both"/>
      </w:pPr>
    </w:p>
    <w:p w:rsidR="002A191F" w:rsidRPr="006555B7" w:rsidRDefault="002A191F" w:rsidP="006555B7">
      <w:pPr>
        <w:spacing w:after="120" w:line="240" w:lineRule="auto"/>
        <w:jc w:val="both"/>
        <w:rPr>
          <w:b/>
        </w:rPr>
      </w:pPr>
      <w:r>
        <w:rPr>
          <w:b/>
        </w:rPr>
        <w:t>II. ОСТАТОЧНІ ПРАВИЛА, ЩО ЗАПРОВАДЖУЮТЬ РОЗДІЛ 13(q)</w:t>
      </w:r>
    </w:p>
    <w:p w:rsidR="002A191F" w:rsidRPr="006555B7" w:rsidRDefault="002A191F" w:rsidP="006555B7">
      <w:pPr>
        <w:spacing w:after="120" w:line="240" w:lineRule="auto"/>
        <w:jc w:val="both"/>
        <w:rPr>
          <w:b/>
        </w:rPr>
      </w:pPr>
      <w:r>
        <w:rPr>
          <w:b/>
        </w:rPr>
        <w:t>A. Стислий виклад остаточних правил</w:t>
      </w:r>
    </w:p>
    <w:p w:rsidR="002A191F" w:rsidRPr="002A191F" w:rsidRDefault="002A191F" w:rsidP="006555B7">
      <w:pPr>
        <w:spacing w:after="120" w:line="240" w:lineRule="auto"/>
        <w:jc w:val="both"/>
      </w:pPr>
      <w:r>
        <w:t>З урахуванням пропозиції ми погоджуємо остаточні правила, які визначають термін “видобувне підприємство”, як визначено в Розділі 13(q). Як було запропоновано, остаточні правила застосовуватимуться по відношенню до всіх американських компаній та іноземних компаній, які беруть участь у промисловій розробці нафти, газу або корисних копалин та які зобов'язані подавати річні звіти Комісії, незалежно від розміру компанії та обсягів господарської діяльності, що становить промислову розробку нафти, газу або корисних копалин. З урахуванням пропозиції остаточні правила застосовуватимуться по відношенню до підприємства, незалежно від того, чи воно є державним, чи ні, яке відповідає визначенню видобувного підприємства.</w:t>
      </w:r>
    </w:p>
    <w:p w:rsidR="002A191F" w:rsidRPr="002A191F" w:rsidRDefault="002A191F" w:rsidP="006555B7">
      <w:pPr>
        <w:spacing w:after="120" w:line="240" w:lineRule="auto"/>
        <w:jc w:val="both"/>
      </w:pPr>
      <w:r>
        <w:t>З урахуванням пропозиції та з огляду на структуру, мову та мету законодавчого акту остаточні правила не забезпечують жодного звільнення від виконання вимог щодо розкриття інформації. По суті, остаточні правила не включають звільнення від виконання зобов'язань для певних категорій підприємств або для видобувних підприємств, які підлягають дії аналогічних вимог щодо надання звітів відповідно до законодавства країни походження, правил лістингу або програми EITI (EITI - Ініціатива прозорості видобувних галузей). Крім того, остаточні правила не забезпечують звільнення від виконання зобов'язань для ситуацій, в яких законодавство іншої держави може забороняти необхідне розкриття інформації. До того ж, остаточні правила не забезпечують звільнення від виконання зобов'язань для випадків, коли підприємство має положення про дотримання конфіденційності в існуючому або майбутньому контракті, або для інформації, що становить комерційну таємницю.</w:t>
      </w:r>
    </w:p>
    <w:p w:rsidR="002A191F" w:rsidRDefault="002A191F" w:rsidP="006555B7">
      <w:pPr>
        <w:spacing w:after="120" w:line="240" w:lineRule="auto"/>
        <w:jc w:val="both"/>
      </w:pPr>
      <w:r>
        <w:t>З урахуванням Розділу 13(q) та пропозиції остаточні правила визначають “промислову розробку нафти, газу або корисних копалин” як таку, що включає діяльність із розвідки, видобування, переробки та експорту або придбання ліцензії та будь-який такий вид діяльності.</w:t>
      </w:r>
    </w:p>
    <w:p w:rsidR="002A191F" w:rsidRPr="002A191F" w:rsidRDefault="002A191F" w:rsidP="006555B7">
      <w:pPr>
        <w:spacing w:after="120" w:line="240" w:lineRule="auto"/>
        <w:jc w:val="both"/>
      </w:pPr>
      <w:r>
        <w:lastRenderedPageBreak/>
        <w:t>З урахуванням Розділу 13(q) та пропозиції остаточні правила визначають “платіж” як такий, що означає платіж, здійснений для сприяння промисловій розробці нафти, газу або корисних копалин, відповідає правовому принципу “not de minimis,” а також включає податки, роялті, винагороду (в тому числі ліцензійні платежі), виробничі компенсаційні виплати та бонуси. Після розгляду коментарів відповідно до остаточних правил і Розділу 13(q)(1)(C)(ii) ми також включаємо дивіденди та платежі за покращення інфраструктури в переліку платежів, інформація про які має бути розкрита. Остаточні правила включають інструкції щодо роз'яснення типів платежів, винагороди, бонусів і дивідендів, на які вони поширюються. До того ж, після розгляду коментарів ми вирішили визначити термін "правовий принцип “not de minimis.” На відміну від запропонованих правил, які залишали термін "правовий принцип “not de minimis” невизначеним, остаточні правила визначають "правовий принцип “not de minimis” як такий, що означає будь-який платіж, у вигляді разової виплати або серії пов'язаних виплат, який дорівнює або перевищує 100 000 доларів, виплачених протягом останнього фінансового року.</w:t>
      </w:r>
    </w:p>
    <w:p w:rsidR="002A191F" w:rsidRPr="002A191F" w:rsidRDefault="002A191F" w:rsidP="006555B7">
      <w:pPr>
        <w:spacing w:after="120" w:line="240" w:lineRule="auto"/>
        <w:jc w:val="both"/>
      </w:pPr>
      <w:r>
        <w:t>З урахуванням Розділу 13(q) та пропозиції, після розгляду коментарів ми вирішили залишити термін “проект” невизначеним.</w:t>
      </w:r>
    </w:p>
    <w:p w:rsidR="002A191F" w:rsidRPr="002A191F" w:rsidRDefault="002A191F" w:rsidP="006555B7">
      <w:pPr>
        <w:spacing w:after="120" w:line="240" w:lineRule="auto"/>
        <w:jc w:val="both"/>
      </w:pPr>
      <w:r>
        <w:t>З урахуванням пропозиції остаточні правила вимагають від видобувного підприємства розкриття інформації про платежі, здійснені таким підприємством, його дочірньою компанією або установою, що перебуває під контролем такого підприємства, на користь іноземного уряду або Федерального уряду США з метою промислової розробки нафти, газу або корисних копалин. Будь-яке видобувне підприємство буде зобов'язане розкрити інформацію про платежі, здійснені безпосередньо таким підприємством або його дочірньою компанією чи установою, що перебуває під контролем такого видобувного підприємства. Таким чином, будь-яке видобувне підприємство повинно розкривати інформацію про платежі, здійснені дочірньою компанією або установою, яка перебуває під контролем такого видобувного підприємства, якщо така дочірня компанія або установа об'єднана у фінансовій звітності видобувного підприємства, включеній до звітів в рамках Закону про біржу, а також платежі, здійснені іншими установами, які воно контролює, як визначено відповідно до Правила 12b-2. Від будь-якого видобувного підприємства може вимагатися розкриття інформації про установи, в яких воно надає пропорційно консолідовану інформацію. Будь-яке видобувне підприємство буде зобов'язане визначити, чи воно здійснює контроль над будь-якою установою для цілей остаточних правил на основі врахування всіх відповідних фактів та обставин</w:t>
      </w:r>
      <w:r>
        <w:rPr>
          <w:rStyle w:val="a5"/>
        </w:rPr>
        <w:footnoteReference w:id="1"/>
      </w:r>
      <w:r>
        <w:t>.</w:t>
      </w:r>
    </w:p>
    <w:p w:rsidR="002A191F" w:rsidRPr="002A191F" w:rsidRDefault="002A191F" w:rsidP="006555B7">
      <w:pPr>
        <w:spacing w:after="120" w:line="240" w:lineRule="auto"/>
        <w:jc w:val="both"/>
      </w:pPr>
      <w:r>
        <w:t>Ми погоджуємо визначення “іноземного уряду”, яке узгоджене з визначенням, поданим у Розділі 13(q), як було запропоновано. Термін “іноземний уряд” включає будь-який іноземний національний уряд, а також іноземний субнаціональний уряд, такий як уряд штату, провінції, округу, муніципалітету або території, що підпорядковується іноземному національному уряду. Як запропоновано, остаточні правила роз'яснюють, що “Федеральний уряд” означає Федеральний уряд Сполучених Штатів Америки. Остаточні правила не вимагають розкриття інформації про платежі, здійснені на користь субнаціональних урядів у Сполучених Штатах Америки. З урахуванням пропозиції остаточні правила роз'яснюють, що будь-яка компанія, яка перебуває у власності іноземного уряду, є компанією, принаймні мажоритарним власником якої є іноземний уряд.</w:t>
      </w:r>
    </w:p>
    <w:p w:rsidR="002A191F" w:rsidRPr="002A191F" w:rsidRDefault="002A191F" w:rsidP="006555B7">
      <w:pPr>
        <w:spacing w:after="120" w:line="240" w:lineRule="auto"/>
        <w:jc w:val="both"/>
      </w:pPr>
      <w:r>
        <w:t xml:space="preserve">Після розгляду та врахування коментарів остаточні правила, які ми погоджуємо, вимагають від видобувних підприємств необхідного розкриття інформації про платежі </w:t>
      </w:r>
      <w:r w:rsidR="004077E6">
        <w:t>у новому річному звіті, а не в</w:t>
      </w:r>
      <w:r>
        <w:t xml:space="preserve"> існуючому річному звіті видобувного підприємства в рамках Закону про біржу, як пропонувалося. Ми погоджуємо внесення змін до нової Форми SD, що вимагатиме розкриття інформації</w:t>
      </w:r>
      <w:r>
        <w:rPr>
          <w:rStyle w:val="a5"/>
        </w:rPr>
        <w:footnoteReference w:id="2"/>
      </w:r>
      <w:r>
        <w:t xml:space="preserve">. Подібно до пропозиції, Форма SD вимагатиме від підприємств включення стислого </w:t>
      </w:r>
      <w:r>
        <w:lastRenderedPageBreak/>
        <w:t xml:space="preserve">викладення до основної частини форми в пункті під назвою “Розкриття інформації про платежі з боку видобувних підприємств,” що відсилають користувачів до детальної інформації про платежі, викладеної в додатку до такої </w:t>
      </w:r>
      <w:r w:rsidRPr="00DE1F9D">
        <w:t>форми</w:t>
      </w:r>
      <w:r>
        <w:t>. Як погоджено, у відповідь на коментарі, остаточні правила вимагають від видобувних підприємств реєструвати Форму SD в системі EDGAR не пізніше, ніж протягом 150 днів після закінчення останнього фінансового року підприємства. Остаточні правила вимагатимуть від видобувних підприємств подавати інформацію про платежі в одному додатку до нової Форми SD, а не в двох додатках, як було запропоновано. У необхідному додатку повинна надаватися інформація з використанням стандарту інтерактивних даних XBRL (розширюваної мови бізнес-звітності)</w:t>
      </w:r>
      <w:r>
        <w:rPr>
          <w:rStyle w:val="a5"/>
        </w:rPr>
        <w:footnoteReference w:id="3"/>
      </w:r>
      <w:r>
        <w:t>. Оскільки додаток XBRL буде автоматично переведено в читабельну форму, доступну в системі EDGAR, ми не вимагаємо окремого додатку HTML або ASCII в якості доповнення до додатку XBRL. Відповідно до остаточних правил та як того вимагає законодавчий акт,</w:t>
      </w:r>
      <w:r w:rsidR="00DE1F9D">
        <w:t xml:space="preserve"> </w:t>
      </w:r>
      <w:r>
        <w:t>будь-яке видобувне підприємство повинно подавати інформацію про платежі з використанням електронних ярличків для ідентифікації будь-яких платежів, здійснених видобувним підприємством на користь іноземного уряду або Федерального уряду США:</w:t>
      </w:r>
    </w:p>
    <w:p w:rsidR="002A191F" w:rsidRPr="002A191F" w:rsidRDefault="002A191F" w:rsidP="006555B7">
      <w:pPr>
        <w:spacing w:after="120" w:line="240" w:lineRule="auto"/>
        <w:ind w:left="708"/>
        <w:jc w:val="both"/>
      </w:pPr>
      <w:r>
        <w:t>• загальні суми платежів, за типом;</w:t>
      </w:r>
    </w:p>
    <w:p w:rsidR="002A191F" w:rsidRPr="002A191F" w:rsidRDefault="002A191F" w:rsidP="006555B7">
      <w:pPr>
        <w:spacing w:after="120" w:line="240" w:lineRule="auto"/>
        <w:ind w:left="708"/>
        <w:jc w:val="both"/>
      </w:pPr>
      <w:r>
        <w:t>• валюта, в якій здійснювалися платежі;</w:t>
      </w:r>
    </w:p>
    <w:p w:rsidR="002A191F" w:rsidRPr="002A191F" w:rsidRDefault="002A191F" w:rsidP="006555B7">
      <w:pPr>
        <w:spacing w:after="120" w:line="240" w:lineRule="auto"/>
        <w:ind w:left="708"/>
        <w:jc w:val="both"/>
      </w:pPr>
      <w:r>
        <w:t>• фінансовий період, протягом якого були здійснені платежі;</w:t>
      </w:r>
    </w:p>
    <w:p w:rsidR="002A191F" w:rsidRPr="002A191F" w:rsidRDefault="002A191F" w:rsidP="006555B7">
      <w:pPr>
        <w:spacing w:after="120" w:line="240" w:lineRule="auto"/>
        <w:ind w:left="708"/>
        <w:jc w:val="both"/>
      </w:pPr>
      <w:r>
        <w:t>• сегмент бізнесу видобувного підприємства, який здійснив платежі;</w:t>
      </w:r>
    </w:p>
    <w:p w:rsidR="002A191F" w:rsidRPr="002A191F" w:rsidRDefault="002A191F" w:rsidP="00DE1F9D">
      <w:pPr>
        <w:spacing w:after="120" w:line="240" w:lineRule="auto"/>
        <w:ind w:left="708"/>
        <w:jc w:val="both"/>
      </w:pPr>
      <w:r>
        <w:t>• уряд, який одержав платежі, і країна, в якій</w:t>
      </w:r>
      <w:r w:rsidR="00DE1F9D">
        <w:t xml:space="preserve"> </w:t>
      </w:r>
      <w:r>
        <w:t>розташований такий уряд; та</w:t>
      </w:r>
    </w:p>
    <w:p w:rsidR="002A191F" w:rsidRPr="002A191F" w:rsidRDefault="002A191F" w:rsidP="006555B7">
      <w:pPr>
        <w:spacing w:after="120" w:line="240" w:lineRule="auto"/>
        <w:ind w:left="708"/>
        <w:jc w:val="both"/>
      </w:pPr>
      <w:r>
        <w:t>• проект видобувного підприємства, з яким пов'язані такі платежі</w:t>
      </w:r>
      <w:r>
        <w:rPr>
          <w:rStyle w:val="a5"/>
        </w:rPr>
        <w:footnoteReference w:id="4"/>
      </w:r>
      <w:r>
        <w:t>.</w:t>
      </w:r>
    </w:p>
    <w:p w:rsidR="002A191F" w:rsidRPr="002A191F" w:rsidRDefault="002A191F" w:rsidP="006555B7">
      <w:pPr>
        <w:spacing w:after="120" w:line="240" w:lineRule="auto"/>
        <w:jc w:val="both"/>
      </w:pPr>
      <w:r>
        <w:t>Крім того, будь-яке видобувне підприємство повинно надати інформацію щодо типу і загальної суми платежів, здійснених в рамках кожного проекту, а також щодо типу і загальної суми платежів, здійснених на користь кожного уряду у форматі інтерактивних даних. На відміну від пропозиції, у відповідь на коментарі, які ми отримали, остаточні правила вимагатимуть від видобувних підприємств реєструвати інформацію про платежі, а не просто надавати її.</w:t>
      </w:r>
    </w:p>
    <w:p w:rsidR="00CF679C" w:rsidRDefault="002A191F" w:rsidP="006555B7">
      <w:pPr>
        <w:spacing w:after="120" w:line="240" w:lineRule="auto"/>
        <w:jc w:val="both"/>
      </w:pPr>
      <w:r>
        <w:t>Відповідно до остаточних правил будь-яке видобувне підприємство буде зобов'язане дотримуватися нових правил та форми на фінансові роки, що закінчуються після 30 вересня 2013 року. Щодо першого звіту, поданого за фінансові роки, що закінчуються після 30 вересня 2013 року, видобувне підприємство може надати частковий річний звіт, якщо фінансовий рік підприємства почався до 30 вересня 2013 року. Таке підприємство буде зобов'язане подати звіт за період з 1 жовтня 2013 року і до кінця його фінансового року. За будь-який фінансовий рік, який починається 30 вересня 2013 року або після цієї дати, будь-яке видобувне підприємство буде зобов'язане подати та зареєструвати звіт, в якому розкривається інформація про платежі, за повний фінансовий рік.</w:t>
      </w:r>
    </w:p>
    <w:p w:rsidR="006555B7" w:rsidRDefault="006555B7" w:rsidP="006555B7">
      <w:pPr>
        <w:spacing w:after="120" w:line="240" w:lineRule="auto"/>
        <w:jc w:val="center"/>
      </w:pPr>
    </w:p>
    <w:p w:rsidR="002A191F" w:rsidRDefault="005D27EF" w:rsidP="006555B7">
      <w:pPr>
        <w:spacing w:after="120" w:line="240" w:lineRule="auto"/>
        <w:jc w:val="center"/>
      </w:pPr>
      <w:r>
        <w:t>///</w:t>
      </w:r>
    </w:p>
    <w:p w:rsidR="005D27EF" w:rsidRDefault="005D27EF" w:rsidP="006555B7">
      <w:pPr>
        <w:spacing w:after="120" w:line="240" w:lineRule="auto"/>
        <w:jc w:val="both"/>
      </w:pPr>
    </w:p>
    <w:p w:rsidR="002A191F" w:rsidRPr="005D27EF" w:rsidRDefault="002A191F" w:rsidP="006555B7">
      <w:pPr>
        <w:spacing w:after="120" w:line="240" w:lineRule="auto"/>
        <w:jc w:val="both"/>
        <w:rPr>
          <w:b/>
        </w:rPr>
      </w:pPr>
      <w:r>
        <w:rPr>
          <w:b/>
        </w:rPr>
        <w:t>VI. ЗАКОННІ ПОВНОВАЖЕННЯ І ТЕКСТ ЗМІН ДО ОСТАТОЧНОГО ПРАВИЛА ТА ФОРМИ</w:t>
      </w:r>
    </w:p>
    <w:p w:rsidR="002A191F" w:rsidRPr="002A191F" w:rsidRDefault="002A191F" w:rsidP="006555B7">
      <w:pPr>
        <w:spacing w:after="120" w:line="240" w:lineRule="auto"/>
        <w:jc w:val="both"/>
      </w:pPr>
      <w:r>
        <w:t>Ми погоджуємо внесення змін до правила та форми, що містяться в цьому документі відповідно до повноваження, встановленого в Розділах 3(b), 12, 13, 15, 23(a), та 36 Закону про біржу.</w:t>
      </w:r>
    </w:p>
    <w:p w:rsidR="002A191F" w:rsidRPr="002A191F" w:rsidRDefault="002A191F" w:rsidP="006555B7">
      <w:pPr>
        <w:spacing w:after="120" w:line="240" w:lineRule="auto"/>
        <w:jc w:val="both"/>
      </w:pPr>
      <w:r>
        <w:t xml:space="preserve">Перелік суб'єктів </w:t>
      </w:r>
      <w:r w:rsidR="00467E53">
        <w:t xml:space="preserve">у </w:t>
      </w:r>
      <w:r w:rsidR="00467E53" w:rsidRPr="00A24DC7">
        <w:t>Збірник</w:t>
      </w:r>
      <w:r w:rsidR="00A24DC7" w:rsidRPr="00A24DC7">
        <w:t>у</w:t>
      </w:r>
      <w:r>
        <w:t xml:space="preserve"> федеральних норм та правил</w:t>
      </w:r>
      <w:r w:rsidR="00CC50B4">
        <w:t>, книга 17</w:t>
      </w:r>
      <w:r>
        <w:t xml:space="preserve"> - Частини 240 та 249b</w:t>
      </w:r>
    </w:p>
    <w:p w:rsidR="002A191F" w:rsidRPr="002A191F" w:rsidRDefault="002A191F" w:rsidP="006555B7">
      <w:pPr>
        <w:spacing w:after="120" w:line="240" w:lineRule="auto"/>
        <w:jc w:val="both"/>
      </w:pPr>
      <w:r>
        <w:lastRenderedPageBreak/>
        <w:t>Подання звітів і ведення документації, цінні папери.</w:t>
      </w:r>
    </w:p>
    <w:p w:rsidR="002A191F" w:rsidRPr="002A191F" w:rsidRDefault="002A191F" w:rsidP="006555B7">
      <w:pPr>
        <w:spacing w:after="120" w:line="240" w:lineRule="auto"/>
        <w:jc w:val="both"/>
      </w:pPr>
      <w:r>
        <w:t>Відповідно до вищезазначеного ми вносимо зміни до Книги 17, Частина ІІ Збірника Федеральних Норм та Правил, наступним чином:</w:t>
      </w:r>
    </w:p>
    <w:p w:rsidR="002A191F" w:rsidRPr="005D27EF" w:rsidRDefault="002A191F" w:rsidP="006555B7">
      <w:pPr>
        <w:spacing w:after="120" w:line="240" w:lineRule="auto"/>
        <w:jc w:val="both"/>
        <w:rPr>
          <w:b/>
        </w:rPr>
      </w:pPr>
      <w:r>
        <w:rPr>
          <w:b/>
        </w:rPr>
        <w:t>ЧАСТИНА 240 – ЗАГАЛЬНІ ПРАВИЛА ТА ПОЛОЖЕННЯ, ЗАКОН ПРО ЦІННІ ПАПЕРИ 1934 РОКУ</w:t>
      </w:r>
    </w:p>
    <w:p w:rsidR="005D27EF" w:rsidRDefault="005D27EF" w:rsidP="006555B7">
      <w:pPr>
        <w:spacing w:after="120" w:line="240" w:lineRule="auto"/>
        <w:jc w:val="center"/>
      </w:pPr>
      <w:r>
        <w:t>///</w:t>
      </w:r>
    </w:p>
    <w:p w:rsidR="002A191F" w:rsidRPr="002A191F" w:rsidRDefault="002A191F" w:rsidP="006555B7">
      <w:pPr>
        <w:spacing w:after="120" w:line="240" w:lineRule="auto"/>
        <w:jc w:val="both"/>
      </w:pPr>
      <w:r>
        <w:t>2. Додати параграф 240.13q-1 у наступній редакції:</w:t>
      </w:r>
    </w:p>
    <w:p w:rsidR="002A191F" w:rsidRPr="005D27EF" w:rsidRDefault="002A191F" w:rsidP="006555B7">
      <w:pPr>
        <w:spacing w:after="120" w:line="240" w:lineRule="auto"/>
        <w:jc w:val="both"/>
        <w:rPr>
          <w:b/>
        </w:rPr>
      </w:pPr>
      <w:r>
        <w:rPr>
          <w:b/>
        </w:rPr>
        <w:t>§ 240.13q-1 Розкриття інформації про платежі з боку видобувних підприємств.</w:t>
      </w:r>
    </w:p>
    <w:p w:rsidR="005D27EF" w:rsidRPr="002A191F" w:rsidRDefault="005D27EF" w:rsidP="006555B7">
      <w:pPr>
        <w:spacing w:after="120" w:line="240" w:lineRule="auto"/>
        <w:jc w:val="both"/>
      </w:pPr>
    </w:p>
    <w:p w:rsidR="002A191F" w:rsidRDefault="002A191F" w:rsidP="006555B7">
      <w:pPr>
        <w:spacing w:after="120" w:line="240" w:lineRule="auto"/>
        <w:jc w:val="both"/>
      </w:pPr>
      <w:r>
        <w:t>(a) Будь-яке видобувне підприємство, відповідно до визначення, представленого в пункті цього розділу, повинно подати та зареєструвати звіт у Формі SD (Збірник федеральних норм та правил</w:t>
      </w:r>
      <w:r w:rsidR="00CC50B4">
        <w:t>, книга 17,</w:t>
      </w:r>
      <w:r>
        <w:t xml:space="preserve"> 249b.400) протягом періоду, зазначеного в такій Формі, розкриваючи інформацію, яку вимагають відповідні пункти Форми SD, як зазначено в такій Формі.</w:t>
      </w:r>
    </w:p>
    <w:p w:rsidR="005D27EF" w:rsidRPr="002A191F" w:rsidRDefault="005D27EF" w:rsidP="006555B7">
      <w:pPr>
        <w:spacing w:after="120" w:line="240" w:lineRule="auto"/>
        <w:jc w:val="both"/>
      </w:pPr>
    </w:p>
    <w:p w:rsidR="002A191F" w:rsidRPr="002A191F" w:rsidRDefault="002A191F" w:rsidP="006555B7">
      <w:pPr>
        <w:spacing w:after="120" w:line="240" w:lineRule="auto"/>
        <w:jc w:val="both"/>
      </w:pPr>
      <w:r>
        <w:t>(b) Визначення термінів. Для цілей цього Розділу:</w:t>
      </w:r>
    </w:p>
    <w:p w:rsidR="005D27EF" w:rsidRDefault="005D27EF" w:rsidP="006555B7">
      <w:pPr>
        <w:spacing w:after="120" w:line="240" w:lineRule="auto"/>
        <w:jc w:val="both"/>
      </w:pPr>
    </w:p>
    <w:p w:rsidR="002A191F" w:rsidRPr="002A191F" w:rsidRDefault="002A191F" w:rsidP="006555B7">
      <w:pPr>
        <w:spacing w:after="120" w:line="240" w:lineRule="auto"/>
        <w:ind w:left="708"/>
        <w:jc w:val="both"/>
      </w:pPr>
      <w:r>
        <w:t>(1) "Видобувне підприємство" означає підприємство, яке:</w:t>
      </w:r>
    </w:p>
    <w:p w:rsidR="002A191F" w:rsidRPr="002A191F" w:rsidRDefault="002A191F" w:rsidP="006555B7">
      <w:pPr>
        <w:spacing w:after="120" w:line="240" w:lineRule="auto"/>
        <w:ind w:left="1416"/>
        <w:jc w:val="both"/>
      </w:pPr>
      <w:r>
        <w:t>(i) зобов'язане подавати річний звіт Комісії; та</w:t>
      </w:r>
    </w:p>
    <w:p w:rsidR="002A191F" w:rsidRPr="002A191F" w:rsidRDefault="002A191F" w:rsidP="006555B7">
      <w:pPr>
        <w:spacing w:after="120" w:line="240" w:lineRule="auto"/>
        <w:ind w:left="1416"/>
        <w:jc w:val="both"/>
      </w:pPr>
      <w:r>
        <w:t>(ii) бере участь у промисловій розробці нафти, природного газу або корисних копалин.</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 xml:space="preserve">(2) Промислова розробка нафти, природного газу або корисних копалин включає розвідку, видобування, переробку та експорт нафти, природного газу або корисних </w:t>
      </w:r>
      <w:r w:rsidR="00467E53">
        <w:t>копалин або придбання ліцензії н</w:t>
      </w:r>
      <w:r>
        <w:t>а будь-який такий вид діяльності.</w:t>
      </w:r>
    </w:p>
    <w:p w:rsidR="005D27EF" w:rsidRDefault="005D27EF" w:rsidP="006555B7">
      <w:pPr>
        <w:spacing w:after="120" w:line="240" w:lineRule="auto"/>
        <w:jc w:val="center"/>
      </w:pPr>
      <w:r>
        <w:t>///</w:t>
      </w:r>
    </w:p>
    <w:p w:rsidR="002A191F" w:rsidRPr="005D27EF" w:rsidRDefault="002A191F" w:rsidP="006555B7">
      <w:pPr>
        <w:spacing w:after="120" w:line="240" w:lineRule="auto"/>
        <w:jc w:val="both"/>
        <w:rPr>
          <w:b/>
        </w:rPr>
      </w:pPr>
      <w:r>
        <w:rPr>
          <w:b/>
        </w:rPr>
        <w:t>ЗАГАЛЬНІ ІНСТРУКЦІЇ</w:t>
      </w:r>
    </w:p>
    <w:p w:rsidR="002A191F" w:rsidRPr="005D27EF" w:rsidRDefault="002A191F" w:rsidP="006555B7">
      <w:pPr>
        <w:spacing w:after="120" w:line="240" w:lineRule="auto"/>
        <w:jc w:val="both"/>
        <w:rPr>
          <w:b/>
        </w:rPr>
      </w:pPr>
      <w:r>
        <w:rPr>
          <w:b/>
        </w:rPr>
        <w:t>A. Правило щодо використання Форми SD.</w:t>
      </w:r>
    </w:p>
    <w:p w:rsidR="002A191F" w:rsidRPr="002A191F" w:rsidRDefault="002A191F" w:rsidP="006555B7">
      <w:pPr>
        <w:spacing w:after="120" w:line="240" w:lineRule="auto"/>
        <w:jc w:val="both"/>
      </w:pPr>
      <w:r>
        <w:t>Ця форма повинна використовуватися для звіту відповідно до Правила 13p-1 (Збірник федеральних норм та правил</w:t>
      </w:r>
      <w:r w:rsidR="00CC50B4">
        <w:t>, книга 17,</w:t>
      </w:r>
      <w:r>
        <w:t xml:space="preserve"> 240.13p-1) та Правила 13q-1 (Збірник федеральних норм та правил</w:t>
      </w:r>
      <w:r w:rsidR="00CC50B4">
        <w:t>, книга 17,</w:t>
      </w:r>
      <w:r>
        <w:t xml:space="preserve"> 240.13q-1) відповідно до Закону про біржу.</w:t>
      </w:r>
    </w:p>
    <w:p w:rsidR="005D27EF" w:rsidRDefault="005D27EF" w:rsidP="006555B7">
      <w:pPr>
        <w:spacing w:after="120" w:line="240" w:lineRule="auto"/>
        <w:jc w:val="both"/>
      </w:pPr>
    </w:p>
    <w:p w:rsidR="002A191F" w:rsidRPr="005D27EF" w:rsidRDefault="002A191F" w:rsidP="006555B7">
      <w:pPr>
        <w:spacing w:after="120" w:line="240" w:lineRule="auto"/>
        <w:jc w:val="both"/>
        <w:rPr>
          <w:b/>
        </w:rPr>
      </w:pPr>
      <w:r>
        <w:rPr>
          <w:b/>
        </w:rPr>
        <w:t>B. Інформація, яка повинна мітитися у звіті, та строки подання звітів.</w:t>
      </w:r>
    </w:p>
    <w:p w:rsidR="002A191F" w:rsidRPr="002A191F" w:rsidRDefault="002A191F" w:rsidP="006555B7">
      <w:pPr>
        <w:spacing w:after="120" w:line="240" w:lineRule="auto"/>
        <w:jc w:val="both"/>
      </w:pPr>
      <w:r>
        <w:t>1. * * *</w:t>
      </w:r>
    </w:p>
    <w:p w:rsidR="002A191F" w:rsidRPr="002A191F" w:rsidRDefault="002A191F" w:rsidP="006555B7">
      <w:pPr>
        <w:spacing w:after="120" w:line="240" w:lineRule="auto"/>
        <w:jc w:val="both"/>
      </w:pPr>
      <w:r>
        <w:t>2. Форма, яка подається відповідно до Правила 13q-1. Подавайте необхідну інформацію відповідно до Розділу 2 цієї Форми в системі EDGAR не пізніше, ніж протягом 150 днів після закінчення останнього фінансового року підприємства.</w:t>
      </w:r>
    </w:p>
    <w:p w:rsidR="002A191F" w:rsidRPr="002A191F" w:rsidRDefault="002A191F" w:rsidP="006555B7">
      <w:pPr>
        <w:spacing w:after="120" w:line="240" w:lineRule="auto"/>
        <w:jc w:val="both"/>
      </w:pPr>
      <w:r>
        <w:t>3. Якщо кінц</w:t>
      </w:r>
      <w:r w:rsidR="00A22F38">
        <w:t>евий термін</w:t>
      </w:r>
      <w:r>
        <w:t xml:space="preserve"> подання цієї форми припадає на суботу, неділю або святковий день, у який Комісія не працює, тоді таким кінцевим терміном має бути наступний робочий день.</w:t>
      </w:r>
    </w:p>
    <w:p w:rsidR="002A191F" w:rsidRPr="002A191F" w:rsidRDefault="002A191F" w:rsidP="006555B7">
      <w:pPr>
        <w:spacing w:after="120" w:line="240" w:lineRule="auto"/>
        <w:jc w:val="both"/>
      </w:pPr>
      <w:r>
        <w:t>4. Інформація та документи, подані в рамках цього звіту, не повинні вважатися включеним до будь-якого подання на підставі посилання відповідно до Закону про цінні папери або Закону про біржу, якщо зареєстрована особа спеціально не включає їх на підставі посилання до подання відповідно до Закону про цінні папери або Закону про біржу.</w:t>
      </w:r>
    </w:p>
    <w:p w:rsidR="005D27EF" w:rsidRDefault="005D27EF" w:rsidP="006555B7">
      <w:pPr>
        <w:spacing w:after="120" w:line="240" w:lineRule="auto"/>
        <w:jc w:val="both"/>
      </w:pPr>
    </w:p>
    <w:p w:rsidR="002A191F" w:rsidRPr="005D27EF" w:rsidRDefault="002A191F" w:rsidP="006555B7">
      <w:pPr>
        <w:spacing w:after="120" w:line="240" w:lineRule="auto"/>
        <w:jc w:val="both"/>
        <w:rPr>
          <w:b/>
        </w:rPr>
      </w:pPr>
      <w:r>
        <w:rPr>
          <w:b/>
        </w:rPr>
        <w:t>Розділ 2 – Розкриття інформації про видобувне підприємство</w:t>
      </w:r>
    </w:p>
    <w:p w:rsidR="002A191F" w:rsidRPr="005D27EF" w:rsidRDefault="002A191F" w:rsidP="006555B7">
      <w:pPr>
        <w:spacing w:after="120" w:line="240" w:lineRule="auto"/>
        <w:jc w:val="both"/>
        <w:rPr>
          <w:b/>
        </w:rPr>
      </w:pPr>
      <w:r>
        <w:rPr>
          <w:b/>
        </w:rPr>
        <w:t xml:space="preserve">Пункт 2.01 Вимоги щодо </w:t>
      </w:r>
      <w:r w:rsidR="00A22F38">
        <w:rPr>
          <w:b/>
        </w:rPr>
        <w:t>розкриття інформації про платежі</w:t>
      </w:r>
      <w:r>
        <w:rPr>
          <w:b/>
        </w:rPr>
        <w:t xml:space="preserve"> на користь урядових установ</w:t>
      </w:r>
    </w:p>
    <w:p w:rsidR="005D27EF" w:rsidRDefault="005D27EF" w:rsidP="006555B7">
      <w:pPr>
        <w:spacing w:after="120" w:line="240" w:lineRule="auto"/>
        <w:jc w:val="both"/>
      </w:pPr>
    </w:p>
    <w:p w:rsidR="002A191F" w:rsidRPr="002A191F" w:rsidRDefault="002A191F" w:rsidP="006555B7">
      <w:pPr>
        <w:spacing w:after="120" w:line="240" w:lineRule="auto"/>
        <w:jc w:val="both"/>
      </w:pPr>
      <w:r>
        <w:t>(a) Будь-яке видобувне підприємство повинно подати до Комісії річний звіт у Формі SD та включити в якості додатка до Форми SD інформацію, пов'язану з будь-яким платежем, здійсненим протягом фінансового року, якого стосується річний звіт, таким підприємством, їхньою дочірньою компанією або установою, яка перебуває під контролем такого підприємства, на користь іноземного уряду або Федерального уряду США з метою промислової розробки нафти, природного газу або корисних копалин. Зокрема, будь-яке видобувне підприємство повинно подати наступну інформацію у вигляді додатку до цієї Форми SD, в електронному форматі з використанням стандарту інтерактивних даних розширюваної мови бізнес-звітності (XBRL):</w:t>
      </w:r>
    </w:p>
    <w:p w:rsidR="005D27EF" w:rsidRDefault="005D27EF" w:rsidP="006555B7">
      <w:pPr>
        <w:spacing w:after="120" w:line="240" w:lineRule="auto"/>
        <w:jc w:val="both"/>
      </w:pPr>
    </w:p>
    <w:p w:rsidR="002A191F" w:rsidRPr="002A191F" w:rsidRDefault="002A191F" w:rsidP="006555B7">
      <w:pPr>
        <w:spacing w:after="120" w:line="240" w:lineRule="auto"/>
        <w:ind w:left="708"/>
        <w:jc w:val="both"/>
      </w:pPr>
      <w:r>
        <w:t>(1) тип і загальна сума таких платежів, здійснених в рамках кожного проекту видобувного підприємства, пов'язаного з промисловою розробкою нафти, природного газу або корисних копалин;</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(2) тип і загальна сума таких платежів, здійснених на користь кожного уряду;</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(3) загальні суми платежів, за типами, зазначеними в пункті (c)(6)(iii);</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(4) валюта, в якій здійснювалися платежі;</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(5) фінансовий період, протягом якого були здійснені платежі;</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(6) сегмент бізнесу видобувного підприємства, який здійснив платежі;</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(7) уряд, який одержав платежі, і країна, в якій розташований такий уряд; та</w:t>
      </w:r>
    </w:p>
    <w:p w:rsidR="005D27EF" w:rsidRDefault="005D27EF" w:rsidP="006555B7">
      <w:pPr>
        <w:spacing w:after="120" w:line="240" w:lineRule="auto"/>
        <w:ind w:left="708"/>
        <w:jc w:val="both"/>
      </w:pPr>
    </w:p>
    <w:p w:rsidR="002A191F" w:rsidRPr="002A191F" w:rsidRDefault="002A191F" w:rsidP="006555B7">
      <w:pPr>
        <w:spacing w:after="120" w:line="240" w:lineRule="auto"/>
        <w:ind w:left="708"/>
        <w:jc w:val="both"/>
      </w:pPr>
      <w:r>
        <w:t>(8) проект видобувного підприємства, з яким пов'язані такі платежі.</w:t>
      </w:r>
    </w:p>
    <w:p w:rsidR="005D27EF" w:rsidRDefault="005D27EF" w:rsidP="006555B7">
      <w:pPr>
        <w:spacing w:after="120" w:line="240" w:lineRule="auto"/>
        <w:jc w:val="both"/>
      </w:pPr>
    </w:p>
    <w:p w:rsidR="002A191F" w:rsidRPr="002A191F" w:rsidRDefault="002A191F" w:rsidP="006555B7">
      <w:pPr>
        <w:spacing w:after="120" w:line="240" w:lineRule="auto"/>
        <w:jc w:val="both"/>
      </w:pPr>
      <w:r>
        <w:t>(b) зазначте в основній частині Форми SD, що зазначене розкриття інформації про платежі, яке необхідне за цією формою, включене до додатка до цієї форми.</w:t>
      </w:r>
    </w:p>
    <w:p w:rsidR="005D27EF" w:rsidRDefault="005D27EF" w:rsidP="006555B7">
      <w:pPr>
        <w:spacing w:after="120" w:line="240" w:lineRule="auto"/>
        <w:jc w:val="both"/>
      </w:pPr>
    </w:p>
    <w:p w:rsidR="002A191F" w:rsidRPr="002A191F" w:rsidRDefault="002A191F" w:rsidP="006555B7">
      <w:pPr>
        <w:spacing w:after="120" w:line="240" w:lineRule="auto"/>
        <w:jc w:val="both"/>
      </w:pPr>
      <w:r>
        <w:t>В цілях цього пункту:</w:t>
      </w:r>
    </w:p>
    <w:p w:rsidR="002A191F" w:rsidRDefault="002A191F" w:rsidP="006555B7">
      <w:pPr>
        <w:spacing w:after="120" w:line="240" w:lineRule="auto"/>
        <w:jc w:val="both"/>
      </w:pPr>
    </w:p>
    <w:p w:rsidR="002A191F" w:rsidRPr="002A191F" w:rsidRDefault="002A191F" w:rsidP="006555B7">
      <w:pPr>
        <w:spacing w:after="120" w:line="240" w:lineRule="auto"/>
        <w:ind w:left="708"/>
        <w:jc w:val="both"/>
      </w:pPr>
      <w:r>
        <w:t xml:space="preserve">(1) Термін “промислова розробка нафти, природного газу або корисних копалин” включає розвідку, видобування, переробку та експорт нафти, природного газу або корисних </w:t>
      </w:r>
      <w:r w:rsidR="00765B94">
        <w:t>копалин або придбання ліцензії н</w:t>
      </w:r>
      <w:r>
        <w:t>а будь-який такий вид діяльності.</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(2) Термін "іноземний уряд" означає іноземний уряд, відомство, управління або адміністративний орган іноземного уряду, або компанію, власником якої є іноземний уряд. Відповідно до визначення, поданого в пункті 2.01, термін “іноземний уряд” включає будь-який іноземний національний уряд, а також іноземний субнаціональний уряд, такий як уряд штату, провінції, округу, муніципалітету або території, що підпорядковується іноземному національному уряду.</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(3) Термін "</w:t>
      </w:r>
      <w:r w:rsidRPr="00537AD6">
        <w:t>фінансовий</w:t>
      </w:r>
      <w:r>
        <w:t xml:space="preserve"> період" означає фінансовий рік, протягом якого було здійснено платіж.</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(4) Термін "сегмент бізнесу" означає сегмент бізнесу, що відповідає сегментам, які є предметом звітності, та який використовується видобувним підприємством для цілей фінансової звітності.</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(5) Терміни “дочірня компанія” та “контроль” тлумачаться згідно з визначенням, поданим у параграфі 240.12b-2 цього розділу.</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(6) Термін "платіж" означає сплачену суму, яка:</w:t>
      </w:r>
    </w:p>
    <w:p w:rsidR="002A191F" w:rsidRPr="002A191F" w:rsidRDefault="002A191F" w:rsidP="006555B7">
      <w:pPr>
        <w:spacing w:after="120" w:line="240" w:lineRule="auto"/>
        <w:ind w:left="708"/>
        <w:jc w:val="both"/>
      </w:pPr>
      <w:r>
        <w:t>(i) Надана для сприяння промисловій розробці нафти, газу або корисних копалин;</w:t>
      </w:r>
    </w:p>
    <w:p w:rsidR="002A191F" w:rsidRPr="002A191F" w:rsidRDefault="002A191F" w:rsidP="006555B7">
      <w:pPr>
        <w:spacing w:after="120" w:line="240" w:lineRule="auto"/>
        <w:ind w:left="708"/>
        <w:jc w:val="both"/>
      </w:pPr>
      <w:r>
        <w:t>(ii) відповідає правовому принципу “not de minimis”; та</w:t>
      </w:r>
    </w:p>
    <w:p w:rsidR="002A191F" w:rsidRPr="002A191F" w:rsidRDefault="002A191F" w:rsidP="006555B7">
      <w:pPr>
        <w:spacing w:after="120" w:line="240" w:lineRule="auto"/>
        <w:ind w:left="708"/>
        <w:jc w:val="both"/>
      </w:pPr>
      <w:r>
        <w:t>(iii) Включає:</w:t>
      </w:r>
    </w:p>
    <w:p w:rsidR="002A191F" w:rsidRPr="002A191F" w:rsidRDefault="002A191F" w:rsidP="006555B7">
      <w:pPr>
        <w:spacing w:after="120" w:line="240" w:lineRule="auto"/>
        <w:ind w:left="1416"/>
        <w:jc w:val="both"/>
      </w:pPr>
      <w:r>
        <w:t>(A) Податки;</w:t>
      </w:r>
    </w:p>
    <w:p w:rsidR="002A191F" w:rsidRPr="002A191F" w:rsidRDefault="002A191F" w:rsidP="006555B7">
      <w:pPr>
        <w:spacing w:after="120" w:line="240" w:lineRule="auto"/>
        <w:ind w:left="1416"/>
        <w:jc w:val="both"/>
      </w:pPr>
      <w:r>
        <w:t>(B) Роялті;</w:t>
      </w:r>
    </w:p>
    <w:p w:rsidR="002A191F" w:rsidRPr="002A191F" w:rsidRDefault="002A191F" w:rsidP="006555B7">
      <w:pPr>
        <w:spacing w:after="120" w:line="240" w:lineRule="auto"/>
        <w:ind w:left="1416"/>
        <w:jc w:val="both"/>
      </w:pPr>
      <w:r>
        <w:t>(C) Винагороди;</w:t>
      </w:r>
    </w:p>
    <w:p w:rsidR="002A191F" w:rsidRPr="002A191F" w:rsidRDefault="002A191F" w:rsidP="006555B7">
      <w:pPr>
        <w:spacing w:after="120" w:line="240" w:lineRule="auto"/>
        <w:ind w:left="1416"/>
        <w:jc w:val="both"/>
      </w:pPr>
      <w:r>
        <w:t>(D) Виробничі компенсаційні виплати;</w:t>
      </w:r>
    </w:p>
    <w:p w:rsidR="002A191F" w:rsidRPr="002A191F" w:rsidRDefault="002A191F" w:rsidP="006555B7">
      <w:pPr>
        <w:spacing w:after="120" w:line="240" w:lineRule="auto"/>
        <w:ind w:left="1416"/>
        <w:jc w:val="both"/>
      </w:pPr>
      <w:r>
        <w:t>(E) Бонуси;</w:t>
      </w:r>
    </w:p>
    <w:p w:rsidR="002A191F" w:rsidRPr="002A191F" w:rsidRDefault="002A191F" w:rsidP="006555B7">
      <w:pPr>
        <w:spacing w:after="120" w:line="240" w:lineRule="auto"/>
        <w:ind w:left="1416"/>
        <w:jc w:val="both"/>
      </w:pPr>
      <w:r>
        <w:t>(F) Дивіденди; та</w:t>
      </w:r>
    </w:p>
    <w:p w:rsidR="002A191F" w:rsidRPr="002A191F" w:rsidRDefault="002A191F" w:rsidP="006555B7">
      <w:pPr>
        <w:spacing w:after="120" w:line="240" w:lineRule="auto"/>
        <w:ind w:left="1416"/>
        <w:jc w:val="both"/>
      </w:pPr>
      <w:r>
        <w:t>(G) Платежі за покращення інфраструктури.</w:t>
      </w:r>
    </w:p>
    <w:p w:rsidR="002A191F" w:rsidRDefault="002A191F" w:rsidP="006555B7">
      <w:pPr>
        <w:spacing w:after="120" w:line="240" w:lineRule="auto"/>
        <w:ind w:left="708"/>
        <w:jc w:val="both"/>
      </w:pPr>
    </w:p>
    <w:p w:rsidR="002A191F" w:rsidRPr="002A191F" w:rsidRDefault="002A191F" w:rsidP="006555B7">
      <w:pPr>
        <w:spacing w:after="120" w:line="240" w:lineRule="auto"/>
        <w:ind w:left="708"/>
        <w:jc w:val="both"/>
      </w:pPr>
      <w:r>
        <w:t>(7) Термін "правовий принцип “not de minimis” означає будь-який платіж, у вигляді разової виплати або серії пов'язаних виплат, який дорівнює або перевищує 100 000 доларів. У випадку будь-якої домовленості, що передбачає періодичні платежі або чергові внески, видобувне підприємство повинно враховувати сукупну суму пов'язаних періодичних платежів або чергових внесків пов'язаних платежів у процесі визначення того, чи дотримано граничного показника платежів для такої серії платежів та, відповідно, чи необхідно розкривати інформацію.</w:t>
      </w:r>
    </w:p>
    <w:p w:rsidR="002A191F" w:rsidRDefault="002A191F" w:rsidP="006555B7">
      <w:pPr>
        <w:spacing w:after="120" w:line="240" w:lineRule="auto"/>
        <w:jc w:val="both"/>
      </w:pPr>
    </w:p>
    <w:p w:rsidR="002A191F" w:rsidRPr="002A191F" w:rsidRDefault="002A191F" w:rsidP="006555B7">
      <w:pPr>
        <w:spacing w:after="120" w:line="240" w:lineRule="auto"/>
        <w:jc w:val="both"/>
        <w:rPr>
          <w:u w:val="single"/>
        </w:rPr>
      </w:pPr>
      <w:r>
        <w:rPr>
          <w:u w:val="single"/>
        </w:rPr>
        <w:t>Інструкції</w:t>
      </w:r>
    </w:p>
    <w:p w:rsidR="002A191F" w:rsidRDefault="002A191F" w:rsidP="006555B7">
      <w:pPr>
        <w:spacing w:after="120" w:line="240" w:lineRule="auto"/>
        <w:jc w:val="both"/>
      </w:pPr>
    </w:p>
    <w:p w:rsidR="002A191F" w:rsidRPr="002A191F" w:rsidRDefault="002A191F" w:rsidP="006555B7">
      <w:pPr>
        <w:spacing w:after="120" w:line="240" w:lineRule="auto"/>
        <w:jc w:val="both"/>
      </w:pPr>
      <w:r>
        <w:t>1. Якщо видобувне підприємство здійснює платіж у натуральній формі таких типів платежів, інформація про які повинна бути розкрита, підприємство повинно розкрити інформацію про такий платіж. Коли подається звіт про будь-який платіж у натуральній формі, підприємство повинно визначити грошову вартість такого платежу, здійсненого в натуральній формі, та позначити таку інформацію ярличком “в натуральній формі” для цілей контролю грошового обігу. Для цілей розкриття інформації підприємство може подавати звіт про платіж за собівартістю або, якщо</w:t>
      </w:r>
      <w:r w:rsidR="00537AD6">
        <w:t xml:space="preserve"> вартість не може бути </w:t>
      </w:r>
      <w:proofErr w:type="spellStart"/>
      <w:r w:rsidR="00537AD6">
        <w:t>визначен</w:t>
      </w:r>
      <w:proofErr w:type="spellEnd"/>
      <w:r w:rsidR="00537AD6">
        <w:rPr>
          <w:lang w:val="ru-RU"/>
        </w:rPr>
        <w:t>а</w:t>
      </w:r>
      <w:r>
        <w:t>, за справедливою ринковою вартістю та повинна надавати короткий опис розрахунку грошової вартості.</w:t>
      </w:r>
    </w:p>
    <w:p w:rsidR="002A191F" w:rsidRDefault="002A191F" w:rsidP="006555B7">
      <w:pPr>
        <w:spacing w:after="120" w:line="240" w:lineRule="auto"/>
        <w:jc w:val="both"/>
      </w:pPr>
    </w:p>
    <w:p w:rsidR="002A191F" w:rsidRPr="002A191F" w:rsidRDefault="002A191F" w:rsidP="006555B7">
      <w:pPr>
        <w:spacing w:after="120" w:line="240" w:lineRule="auto"/>
        <w:jc w:val="both"/>
      </w:pPr>
      <w:r>
        <w:t>2. Якщо уряд призначає платіж, такий як податок або дивіденд, на рівні установи, а не щодо конкретного проекту, видобувне підприємство може розкрити інформацію про такий платіж</w:t>
      </w:r>
      <w:r w:rsidR="00537AD6">
        <w:t xml:space="preserve"> </w:t>
      </w:r>
      <w:r>
        <w:t>на рівні установи. У тих випадках, коли платежі, такі як податки на доходи підприємств і дивіденди, здійснені в рамках виконання зобов'язань, накладених на рівні установи, видобувне підприємство може проігнорувати певні ярлички, як</w:t>
      </w:r>
      <w:r w:rsidR="00EC6B7D">
        <w:t>і</w:t>
      </w:r>
      <w:r>
        <w:t xml:space="preserve"> можуть бути такими, що не підлягають застосовуванню (наприклад, ярличок проекту, ярличок сегменту бізнесу), для тих типів платежів, за умови надання всіх інших електронних ярличків, в тому числі ярличка, що позначає уряд-одержувач.</w:t>
      </w:r>
    </w:p>
    <w:p w:rsidR="002A191F" w:rsidRDefault="002A191F" w:rsidP="006555B7">
      <w:pPr>
        <w:spacing w:after="120" w:line="240" w:lineRule="auto"/>
        <w:jc w:val="both"/>
      </w:pPr>
    </w:p>
    <w:p w:rsidR="002A191F" w:rsidRPr="002A191F" w:rsidRDefault="002A191F" w:rsidP="006555B7">
      <w:pPr>
        <w:spacing w:after="120" w:line="240" w:lineRule="auto"/>
        <w:jc w:val="both"/>
      </w:pPr>
      <w:r>
        <w:t>3. Видобувне підприємство повинно звітувати про суму платежів, здійснених у рамках кожного типу платежів, і загальну суму платежів, здійснених у рамках кожного проекту та на користь кожного уряду протягом звітного періоду, або в доларах США, або у валюті звітності підприємства. Якщо підприємство здій</w:t>
      </w:r>
      <w:r w:rsidR="00EC6B7D">
        <w:t>снило платежі у валютах, інших ніж</w:t>
      </w:r>
      <w:r>
        <w:t xml:space="preserve"> долари США або його валюта звітності, воно може обрати підрахунок конвертації валюти між валютою, в якій здійснено платіж, та доларами США або валютою звітності підприємства, в залежності від обставин, одним із наступних способів: (a) шляхом перерахування витрат за курсом обміну, що існує на час здійснення платежу; (b) використовуючи середньозважений курс обміну за відповідний період; або (c) на підставі курсу обміну станом на момент закінчення фінансового року підприємства. Будь-яке видобувне підприємство повинно розкрити інформацію про спосіб, використаний для розрахунку конвертації валюти.</w:t>
      </w:r>
    </w:p>
    <w:p w:rsidR="002A191F" w:rsidRDefault="002A191F" w:rsidP="006555B7">
      <w:pPr>
        <w:spacing w:after="120" w:line="240" w:lineRule="auto"/>
        <w:jc w:val="both"/>
      </w:pPr>
    </w:p>
    <w:p w:rsidR="002A191F" w:rsidRPr="002A191F" w:rsidRDefault="002A191F" w:rsidP="006555B7">
      <w:pPr>
        <w:spacing w:after="120" w:line="240" w:lineRule="auto"/>
        <w:jc w:val="both"/>
      </w:pPr>
      <w:r>
        <w:t>4. Будь-яка компанія, яка перебуває у власності іноземного уряду, є компанією, принаймні мажоритарним власником якої є іноземний уряд.</w:t>
      </w:r>
    </w:p>
    <w:p w:rsidR="002A191F" w:rsidRDefault="002A191F" w:rsidP="006555B7">
      <w:pPr>
        <w:spacing w:after="120" w:line="240" w:lineRule="auto"/>
        <w:jc w:val="both"/>
      </w:pPr>
    </w:p>
    <w:p w:rsidR="002A191F" w:rsidRPr="002A191F" w:rsidRDefault="002A191F" w:rsidP="006555B7">
      <w:pPr>
        <w:spacing w:after="120" w:line="240" w:lineRule="auto"/>
        <w:jc w:val="both"/>
      </w:pPr>
      <w:r>
        <w:t>5. Будь-яке видобувне підприємство повинно розкрити інформацію про платежі, здійснені у вигляді податків на прибуток підприємства, доходи підприємства та виробництво. Розкриття інформації про платежі, здійснені у вигляді сплати податків, які стягуються зі споживання, таких як податки на додану вартість, податки з доходів фізичних осіб або податки з продажів, не вимагається.</w:t>
      </w:r>
    </w:p>
    <w:p w:rsidR="002A191F" w:rsidRDefault="002A191F" w:rsidP="006555B7">
      <w:pPr>
        <w:spacing w:after="120" w:line="240" w:lineRule="auto"/>
        <w:jc w:val="both"/>
      </w:pPr>
    </w:p>
    <w:p w:rsidR="002A191F" w:rsidRPr="002A191F" w:rsidRDefault="002A191F" w:rsidP="006555B7">
      <w:pPr>
        <w:spacing w:after="120" w:line="240" w:lineRule="auto"/>
        <w:jc w:val="both"/>
      </w:pPr>
      <w:r>
        <w:t>6. Відповідно до тлумачення, що використовується в пункті 2.01(c)(6), винагороди включають ліцензійну плату, орендну плату, реєстраційні внески та іншу винагороду за ліцензії або концесії. Бонуси включають бонуси за підписання, відкриття або видобування.</w:t>
      </w:r>
    </w:p>
    <w:p w:rsidR="002A191F" w:rsidRDefault="002A191F" w:rsidP="006555B7">
      <w:pPr>
        <w:spacing w:after="120" w:line="240" w:lineRule="auto"/>
        <w:jc w:val="both"/>
      </w:pPr>
    </w:p>
    <w:p w:rsidR="002A191F" w:rsidRDefault="002A191F" w:rsidP="006555B7">
      <w:pPr>
        <w:spacing w:after="120" w:line="240" w:lineRule="auto"/>
        <w:jc w:val="both"/>
      </w:pPr>
      <w:r>
        <w:t>7. Будь-яке видобувне підприємство, як правило, не зобов'язане розкривати інформацію про дивіденди, сплачені на користь уряду, що виступає в якості простого акціонера підприємства, за умови, що такі дивіденди виплачені уряду відповідно до тих самих умов, що й іншим акціонерам; однак підприємство буде зобов'язане розкривати інформацію про будь-які дивіденди, сплачені замість виробничих компенсаційних виплат або роялті.</w:t>
      </w:r>
    </w:p>
    <w:p w:rsidR="002A191F" w:rsidRPr="002A191F" w:rsidRDefault="002A191F" w:rsidP="006555B7">
      <w:pPr>
        <w:spacing w:after="120" w:line="240" w:lineRule="auto"/>
        <w:jc w:val="both"/>
      </w:pPr>
    </w:p>
    <w:p w:rsidR="002A191F" w:rsidRPr="002A191F" w:rsidRDefault="002A191F" w:rsidP="006555B7">
      <w:pPr>
        <w:spacing w:after="120" w:line="240" w:lineRule="auto"/>
        <w:jc w:val="both"/>
      </w:pPr>
      <w:r>
        <w:t>8. Якщо підприємство, яке відповідає визначенню “видобувне підприємство”, представленому в Правилі 13q-1(b)(1), є 100% дочірньою компанією видобувного підприємства, яке подало Форму SD, в якій розкривається інформація, яку вимагає пункт 2.01 щодо 100% дочірньої компанії, тоді така дочірня компанія не зобов'язана окремо подавати звіт, що розкриває інформацію, надання якої вимагається пунктом 2.01. За таких обставин така 100% дочірня компанія зобов'язана подати повідомлення в рамках Форми SD, надаючи пояснювальну записку, що необхідне розкриття інформації було здійснене у матеріалах, поданих за Формою SD материнською компанією, та дату такого розкриття інформації материнською компанією. Материнська компанія, яка надає звіт, повинна зауважити, що вона розкриває інформацію за 100% дочірню компанію та повинна визначити таку дочірню компанію у Формі SD. Для цілей цієї інструкції усі акціонерні цінні папери дочірньої компанії повинні перебувати у власності - прямо чи опосередковано - єдиної особи, яка є компанією, що надає звіт відповідно до Закону та яка відповідає визначенню “видобувне підприємство.”</w:t>
      </w:r>
    </w:p>
    <w:p w:rsidR="002A191F" w:rsidRDefault="002A191F" w:rsidP="006555B7">
      <w:pPr>
        <w:spacing w:after="120" w:line="240" w:lineRule="auto"/>
        <w:jc w:val="both"/>
      </w:pPr>
    </w:p>
    <w:p w:rsidR="002A191F" w:rsidRPr="002A191F" w:rsidRDefault="002A191F" w:rsidP="006555B7">
      <w:pPr>
        <w:spacing w:after="120" w:line="240" w:lineRule="auto"/>
        <w:jc w:val="both"/>
      </w:pPr>
      <w:r>
        <w:t>9. Розкриття інформації необхідне відповідно до цього параграфу за таких обставин, коли діяльність, пов'язана з промисловою розробкою нафти, природного газу або корисних копалин, або платіж чи серія платежів, здійснених видобувним підприємством на користь іноземного уряду або Федерального уряду США з метою промислової розробки нафти, природного газу або корисних копалин, за формою або характеристикою, є одним із видів діяльності або одним із типів платежів, які зазначені в цьому розділі, але є частиною плану чи графіку для ухилення від розкриття інформації, що вимагається згідно з Розділом 13(q).</w:t>
      </w:r>
    </w:p>
    <w:p w:rsidR="002A191F" w:rsidRDefault="002A191F" w:rsidP="006555B7">
      <w:pPr>
        <w:spacing w:after="120" w:line="240" w:lineRule="auto"/>
        <w:jc w:val="both"/>
        <w:rPr>
          <w:b/>
        </w:rPr>
      </w:pPr>
    </w:p>
    <w:p w:rsidR="002A191F" w:rsidRPr="002A191F" w:rsidRDefault="002A191F" w:rsidP="006555B7">
      <w:pPr>
        <w:spacing w:after="120" w:line="240" w:lineRule="auto"/>
        <w:jc w:val="both"/>
        <w:rPr>
          <w:b/>
        </w:rPr>
      </w:pPr>
      <w:r>
        <w:rPr>
          <w:b/>
        </w:rPr>
        <w:t>Розділ 3 – Додатки</w:t>
      </w:r>
    </w:p>
    <w:p w:rsidR="002A191F" w:rsidRPr="002A191F" w:rsidRDefault="002A191F" w:rsidP="006555B7">
      <w:pPr>
        <w:spacing w:after="120" w:line="240" w:lineRule="auto"/>
        <w:jc w:val="both"/>
        <w:rPr>
          <w:b/>
        </w:rPr>
      </w:pPr>
      <w:r>
        <w:rPr>
          <w:b/>
        </w:rPr>
        <w:t>Пункт 3.01 Додатки</w:t>
      </w:r>
    </w:p>
    <w:p w:rsidR="002A191F" w:rsidRPr="002A191F" w:rsidRDefault="00EC6B7D" w:rsidP="006555B7">
      <w:pPr>
        <w:spacing w:after="120" w:line="240" w:lineRule="auto"/>
        <w:jc w:val="both"/>
      </w:pPr>
      <w:r>
        <w:t>Надайте нижче наступні додатки, подані</w:t>
      </w:r>
      <w:r w:rsidR="002A191F">
        <w:t xml:space="preserve"> в рамках цього звіту.</w:t>
      </w:r>
    </w:p>
    <w:p w:rsidR="002A191F" w:rsidRPr="002A191F" w:rsidRDefault="002A191F" w:rsidP="006555B7">
      <w:pPr>
        <w:spacing w:after="120" w:line="240" w:lineRule="auto"/>
        <w:jc w:val="both"/>
      </w:pPr>
      <w:r>
        <w:t>Додаток 1.01 – Звіт про конфліктні корисні копалини, який має бути поданий відповідно до пунктів 1.01 та 1.02 цієї Форми.</w:t>
      </w:r>
    </w:p>
    <w:p w:rsidR="002A191F" w:rsidRPr="002A191F" w:rsidRDefault="002A191F" w:rsidP="006555B7">
      <w:pPr>
        <w:spacing w:after="120" w:line="240" w:lineRule="auto"/>
        <w:jc w:val="both"/>
      </w:pPr>
      <w:r>
        <w:t>Додаток 2.01 – Звіт про розкриття інформації про видобувне підприємство, який має бути поданий відповідно до пункту 2.01 цієї Форми.</w:t>
      </w:r>
    </w:p>
    <w:sectPr w:rsidR="002A191F" w:rsidRPr="002A191F" w:rsidSect="00CF67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2C" w:rsidRDefault="000A2B2C" w:rsidP="002A191F">
      <w:pPr>
        <w:spacing w:after="0" w:line="240" w:lineRule="auto"/>
      </w:pPr>
      <w:r>
        <w:separator/>
      </w:r>
    </w:p>
  </w:endnote>
  <w:endnote w:type="continuationSeparator" w:id="0">
    <w:p w:rsidR="000A2B2C" w:rsidRDefault="000A2B2C" w:rsidP="002A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2C" w:rsidRDefault="000A2B2C" w:rsidP="002A191F">
      <w:pPr>
        <w:spacing w:after="0" w:line="240" w:lineRule="auto"/>
      </w:pPr>
      <w:r>
        <w:separator/>
      </w:r>
    </w:p>
  </w:footnote>
  <w:footnote w:type="continuationSeparator" w:id="0">
    <w:p w:rsidR="000A2B2C" w:rsidRDefault="000A2B2C" w:rsidP="002A191F">
      <w:pPr>
        <w:spacing w:after="0" w:line="240" w:lineRule="auto"/>
      </w:pPr>
      <w:r>
        <w:continuationSeparator/>
      </w:r>
    </w:p>
  </w:footnote>
  <w:footnote w:id="1">
    <w:p w:rsidR="002A191F" w:rsidRPr="00C91158" w:rsidRDefault="002A191F">
      <w:pPr>
        <w:pStyle w:val="a3"/>
      </w:pPr>
      <w:r>
        <w:rPr>
          <w:rStyle w:val="a5"/>
        </w:rPr>
        <w:footnoteRef/>
      </w:r>
      <w:r>
        <w:t xml:space="preserve"> Див. Правило 12b-2 Закону про біржу щодо визначення “контролю.” Див. також примітку 315.</w:t>
      </w:r>
    </w:p>
  </w:footnote>
  <w:footnote w:id="2">
    <w:p w:rsidR="002A191F" w:rsidRPr="00C91158" w:rsidRDefault="002A191F" w:rsidP="002A191F">
      <w:pPr>
        <w:pStyle w:val="a3"/>
      </w:pPr>
      <w:r>
        <w:rPr>
          <w:rStyle w:val="a5"/>
        </w:rPr>
        <w:footnoteRef/>
      </w:r>
      <w:r>
        <w:t xml:space="preserve"> </w:t>
      </w:r>
      <w:r>
        <w:t xml:space="preserve">В іншому випуску, який виходить сьогодні, ми погоджуємо правила з метою виконання вимог Розділу 1502 Закону </w:t>
      </w:r>
      <w:proofErr w:type="spellStart"/>
      <w:r>
        <w:t>Додда</w:t>
      </w:r>
      <w:proofErr w:type="spellEnd"/>
      <w:r>
        <w:t>-Франка та вимагаємо від підприємств, які підлягають дії таких вимог, подавати розкриту інформацію в Формі SD. Див. "Конфліктні корисні копалини", Випуск 34-67716 (22 серпня 2012 р.) (“Випуск щодо погодження конфліктних корисних копалин”). Через порядок наших дій ми погоджуємо Форму SD у тому випуску та вносимо зміни до такої форми в цьому випуску, але ми хочемо, щоб ця форма використовувалася однаково для цих двох окремих вимог щодо розкриття інформації та потенційно інших, які виграли б від розміщення в спеціальній формі розкриття інформації.</w:t>
      </w:r>
    </w:p>
  </w:footnote>
  <w:footnote w:id="3">
    <w:p w:rsidR="002A191F" w:rsidRPr="00C91158" w:rsidRDefault="002A191F" w:rsidP="002A191F">
      <w:pPr>
        <w:pStyle w:val="a3"/>
        <w:rPr>
          <w:lang w:val="ru-RU"/>
        </w:rPr>
      </w:pPr>
      <w:r>
        <w:rPr>
          <w:rStyle w:val="a5"/>
        </w:rPr>
        <w:footnoteRef/>
      </w:r>
      <w:r>
        <w:t xml:space="preserve"> </w:t>
      </w:r>
      <w:r>
        <w:t>Як було запропоновано, підприємство мало б подавати два додатки - один у форматі HTML або ASCII, а інший - у форматі XBRL. Як зазначено нижче, ми прийняли рішення вимагати надання лише одного додатка з технічних причин та зменшити тягар дотримання вимог остаточних правил.</w:t>
      </w:r>
    </w:p>
  </w:footnote>
  <w:footnote w:id="4">
    <w:p w:rsidR="002A191F" w:rsidRPr="00C91158" w:rsidRDefault="002A191F">
      <w:pPr>
        <w:pStyle w:val="a3"/>
        <w:rPr>
          <w:lang w:val="ru-RU"/>
        </w:rPr>
      </w:pPr>
      <w:r>
        <w:rPr>
          <w:rStyle w:val="a5"/>
        </w:rPr>
        <w:footnoteRef/>
      </w:r>
      <w:r>
        <w:t xml:space="preserve"> </w:t>
      </w:r>
      <w:r>
        <w:t>Див. пункт 2.01(a) Форми SD (Збірник федеральних норм та правил</w:t>
      </w:r>
      <w:r w:rsidR="00CC50B4">
        <w:t>, книга 17,</w:t>
      </w:r>
      <w:r>
        <w:t xml:space="preserve"> 249.448).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1F"/>
    <w:rsid w:val="00045EBA"/>
    <w:rsid w:val="000A2B2C"/>
    <w:rsid w:val="002A191F"/>
    <w:rsid w:val="004077E6"/>
    <w:rsid w:val="00467E53"/>
    <w:rsid w:val="005251CC"/>
    <w:rsid w:val="00537AD6"/>
    <w:rsid w:val="00560C3E"/>
    <w:rsid w:val="005776C8"/>
    <w:rsid w:val="005C1350"/>
    <w:rsid w:val="005D27EF"/>
    <w:rsid w:val="006555B7"/>
    <w:rsid w:val="00765B94"/>
    <w:rsid w:val="00A22F38"/>
    <w:rsid w:val="00A24DC7"/>
    <w:rsid w:val="00C91158"/>
    <w:rsid w:val="00CC50B4"/>
    <w:rsid w:val="00CF679C"/>
    <w:rsid w:val="00DE1F9D"/>
    <w:rsid w:val="00E0071B"/>
    <w:rsid w:val="00E11F7A"/>
    <w:rsid w:val="00EC6B7D"/>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50351-5FAA-437D-8A34-F76CC12F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uk-U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A191F"/>
    <w:pPr>
      <w:spacing w:after="0" w:line="240" w:lineRule="auto"/>
    </w:pPr>
    <w:rPr>
      <w:sz w:val="20"/>
      <w:szCs w:val="20"/>
    </w:rPr>
  </w:style>
  <w:style w:type="character" w:customStyle="1" w:styleId="a4">
    <w:name w:val="Текст сноски Знак"/>
    <w:basedOn w:val="a0"/>
    <w:link w:val="a3"/>
    <w:uiPriority w:val="99"/>
    <w:semiHidden/>
    <w:rsid w:val="002A191F"/>
    <w:rPr>
      <w:sz w:val="20"/>
      <w:szCs w:val="20"/>
    </w:rPr>
  </w:style>
  <w:style w:type="character" w:styleId="a5">
    <w:name w:val="footnote reference"/>
    <w:basedOn w:val="a0"/>
    <w:uiPriority w:val="99"/>
    <w:semiHidden/>
    <w:unhideWhenUsed/>
    <w:rsid w:val="002A191F"/>
    <w:rPr>
      <w:vertAlign w:val="superscript"/>
    </w:rPr>
  </w:style>
  <w:style w:type="character" w:styleId="a6">
    <w:name w:val="Hyperlink"/>
    <w:basedOn w:val="a0"/>
    <w:uiPriority w:val="99"/>
    <w:unhideWhenUsed/>
    <w:rsid w:val="00655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2A086-02B6-40AE-8608-56C54397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YuliaK</cp:lastModifiedBy>
  <cp:revision>2</cp:revision>
  <dcterms:created xsi:type="dcterms:W3CDTF">2015-02-17T08:02:00Z</dcterms:created>
  <dcterms:modified xsi:type="dcterms:W3CDTF">2015-02-17T08:02:00Z</dcterms:modified>
</cp:coreProperties>
</file>