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9F" w:rsidRPr="001C16E0" w:rsidRDefault="001304D2" w:rsidP="005D0B9F">
      <w:pPr>
        <w:spacing w:after="0" w:line="240" w:lineRule="auto"/>
        <w:ind w:firstLine="720"/>
        <w:jc w:val="right"/>
        <w:rPr>
          <w:rFonts w:ascii="Times New Roman" w:hAnsi="Times New Roman" w:cs="Times New Roman"/>
          <w:lang w:val="uk-UA"/>
        </w:rPr>
      </w:pPr>
      <w:bookmarkStart w:id="0" w:name="_GoBack"/>
      <w:bookmarkEnd w:id="0"/>
      <w:r>
        <w:rPr>
          <w:rFonts w:ascii="Times New Roman" w:hAnsi="Times New Roman" w:cs="Times New Roman"/>
          <w:sz w:val="24"/>
          <w:lang w:val="uk-UA"/>
        </w:rPr>
        <w:t>Додаток 2</w:t>
      </w: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B739EA" w:rsidRPr="001C16E0" w:rsidRDefault="00B739EA" w:rsidP="0052043C">
      <w:pPr>
        <w:spacing w:after="0" w:line="240" w:lineRule="auto"/>
        <w:ind w:firstLine="720"/>
        <w:jc w:val="both"/>
        <w:rPr>
          <w:rFonts w:ascii="Times New Roman" w:hAnsi="Times New Roman" w:cs="Times New Roman"/>
          <w:sz w:val="24"/>
          <w:lang w:val="uk-UA"/>
        </w:rPr>
      </w:pPr>
    </w:p>
    <w:p w:rsidR="00760DAF" w:rsidRPr="001C16E0" w:rsidRDefault="00760DAF" w:rsidP="0052043C">
      <w:pPr>
        <w:spacing w:after="0" w:line="240" w:lineRule="auto"/>
        <w:ind w:firstLine="720"/>
        <w:jc w:val="both"/>
        <w:rPr>
          <w:rFonts w:ascii="Times New Roman" w:hAnsi="Times New Roman" w:cs="Times New Roman"/>
          <w:sz w:val="24"/>
          <w:lang w:val="uk-UA"/>
        </w:rPr>
      </w:pPr>
    </w:p>
    <w:tbl>
      <w:tblPr>
        <w:tblW w:w="16987" w:type="dxa"/>
        <w:tblInd w:w="93" w:type="dxa"/>
        <w:tblLayout w:type="fixed"/>
        <w:tblLook w:val="04A0" w:firstRow="1" w:lastRow="0" w:firstColumn="1" w:lastColumn="0" w:noHBand="0" w:noVBand="1"/>
      </w:tblPr>
      <w:tblGrid>
        <w:gridCol w:w="5260"/>
        <w:gridCol w:w="572"/>
        <w:gridCol w:w="2364"/>
        <w:gridCol w:w="236"/>
        <w:gridCol w:w="572"/>
        <w:gridCol w:w="1548"/>
        <w:gridCol w:w="572"/>
        <w:gridCol w:w="240"/>
        <w:gridCol w:w="332"/>
        <w:gridCol w:w="935"/>
        <w:gridCol w:w="851"/>
        <w:gridCol w:w="93"/>
        <w:gridCol w:w="661"/>
        <w:gridCol w:w="359"/>
        <w:gridCol w:w="159"/>
        <w:gridCol w:w="572"/>
        <w:gridCol w:w="236"/>
        <w:gridCol w:w="745"/>
        <w:gridCol w:w="680"/>
      </w:tblGrid>
      <w:tr w:rsidR="005D0B9F" w:rsidRPr="001709BA" w:rsidTr="005D0B9F">
        <w:trPr>
          <w:gridAfter w:val="5"/>
          <w:wAfter w:w="2392" w:type="dxa"/>
          <w:trHeight w:val="1163"/>
        </w:trPr>
        <w:tc>
          <w:tcPr>
            <w:tcW w:w="13575" w:type="dxa"/>
            <w:gridSpan w:val="12"/>
            <w:tcBorders>
              <w:top w:val="nil"/>
              <w:left w:val="nil"/>
              <w:bottom w:val="nil"/>
              <w:right w:val="nil"/>
            </w:tcBorders>
            <w:shd w:val="clear" w:color="auto" w:fill="auto"/>
            <w:vAlign w:val="center"/>
            <w:hideMark/>
          </w:tcPr>
          <w:p w:rsidR="005D0B9F" w:rsidRPr="001C16E0" w:rsidRDefault="005D0B9F" w:rsidP="005D0B9F">
            <w:pPr>
              <w:spacing w:after="0" w:line="240" w:lineRule="auto"/>
              <w:jc w:val="center"/>
              <w:rPr>
                <w:rFonts w:ascii="Times New Roman" w:eastAsia="Times New Roman" w:hAnsi="Times New Roman" w:cs="Times New Roman"/>
                <w:b/>
                <w:bCs/>
                <w:color w:val="0D0D0D"/>
                <w:sz w:val="24"/>
                <w:szCs w:val="24"/>
                <w:lang w:val="uk-UA" w:eastAsia="uk-UA"/>
              </w:rPr>
            </w:pPr>
            <w:r w:rsidRPr="001C16E0">
              <w:rPr>
                <w:rFonts w:ascii="Times New Roman" w:eastAsia="Times New Roman" w:hAnsi="Times New Roman" w:cs="Times New Roman"/>
                <w:b/>
                <w:bCs/>
                <w:color w:val="0D0D0D"/>
                <w:sz w:val="24"/>
                <w:szCs w:val="24"/>
                <w:lang w:val="uk-UA" w:eastAsia="uk-UA"/>
              </w:rPr>
              <w:t>РІЧНИЙ ЗВІТ ПРО СПЛАТУ ПОДАТКІВ ТА ІНШИХ  ПЛАТЕЖІВ ДЛЯ ПІДПРИЄМСТВ, ЩО ВІДНОСЯТЬСЯ ДО ДОБУВНОЇ ГАЛУЗІ</w:t>
            </w:r>
          </w:p>
        </w:tc>
        <w:tc>
          <w:tcPr>
            <w:tcW w:w="1020"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5D0B9F">
        <w:trPr>
          <w:gridAfter w:val="5"/>
          <w:wAfter w:w="2392" w:type="dxa"/>
          <w:trHeight w:val="315"/>
        </w:trPr>
        <w:tc>
          <w:tcPr>
            <w:tcW w:w="14595" w:type="dxa"/>
            <w:gridSpan w:val="14"/>
            <w:tcBorders>
              <w:top w:val="nil"/>
              <w:left w:val="nil"/>
              <w:bottom w:val="nil"/>
              <w:right w:val="nil"/>
            </w:tcBorders>
            <w:shd w:val="clear" w:color="auto" w:fill="auto"/>
            <w:noWrap/>
            <w:vAlign w:val="bottom"/>
            <w:hideMark/>
          </w:tcPr>
          <w:p w:rsidR="005D0B9F" w:rsidRPr="001C16E0" w:rsidRDefault="005D0B9F" w:rsidP="005D0B9F">
            <w:pPr>
              <w:spacing w:after="0" w:line="240" w:lineRule="auto"/>
              <w:jc w:val="center"/>
              <w:rPr>
                <w:rFonts w:ascii="Times New Roman" w:eastAsia="Times New Roman" w:hAnsi="Times New Roman" w:cs="Times New Roman"/>
                <w:b/>
                <w:bCs/>
                <w:color w:val="000000"/>
                <w:sz w:val="24"/>
                <w:szCs w:val="24"/>
                <w:lang w:val="uk-UA" w:eastAsia="uk-UA"/>
              </w:rPr>
            </w:pPr>
            <w:r w:rsidRPr="001C16E0">
              <w:rPr>
                <w:rFonts w:ascii="Times New Roman" w:eastAsia="Times New Roman" w:hAnsi="Times New Roman" w:cs="Times New Roman"/>
                <w:b/>
                <w:bCs/>
                <w:color w:val="000000"/>
                <w:sz w:val="24"/>
                <w:szCs w:val="24"/>
                <w:lang w:val="uk-UA" w:eastAsia="uk-UA"/>
              </w:rPr>
              <w:t>за 2013 рік</w:t>
            </w:r>
          </w:p>
        </w:tc>
      </w:tr>
      <w:tr w:rsidR="005D0B9F" w:rsidRPr="001C16E0" w:rsidTr="005D0B9F">
        <w:trPr>
          <w:trHeight w:val="225"/>
        </w:trPr>
        <w:tc>
          <w:tcPr>
            <w:tcW w:w="8196"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2360"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3390" w:type="dxa"/>
            <w:gridSpan w:val="7"/>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23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745"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680"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5D0B9F">
        <w:trPr>
          <w:gridAfter w:val="5"/>
          <w:wAfter w:w="2392" w:type="dxa"/>
          <w:trHeight w:val="255"/>
        </w:trPr>
        <w:tc>
          <w:tcPr>
            <w:tcW w:w="583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D0B9F" w:rsidRPr="001C16E0" w:rsidRDefault="005D0B9F" w:rsidP="005D0B9F">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Подають:</w:t>
            </w:r>
          </w:p>
        </w:tc>
        <w:tc>
          <w:tcPr>
            <w:tcW w:w="4720" w:type="dxa"/>
            <w:gridSpan w:val="4"/>
            <w:tcBorders>
              <w:top w:val="single" w:sz="4" w:space="0" w:color="auto"/>
              <w:left w:val="nil"/>
              <w:bottom w:val="single" w:sz="4" w:space="0" w:color="auto"/>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Термін подання:</w:t>
            </w: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1879"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1020"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5D0B9F">
        <w:trPr>
          <w:gridAfter w:val="5"/>
          <w:wAfter w:w="2392" w:type="dxa"/>
          <w:trHeight w:val="570"/>
        </w:trPr>
        <w:tc>
          <w:tcPr>
            <w:tcW w:w="583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 юридичні особи, відокремлені підрозділи юридичних осіб, які займаються промисловими видами</w:t>
            </w:r>
            <w:r w:rsidRPr="001C16E0">
              <w:rPr>
                <w:rFonts w:ascii="Times New Roman" w:eastAsia="Times New Roman" w:hAnsi="Times New Roman" w:cs="Times New Roman"/>
                <w:color w:val="000000"/>
                <w:sz w:val="20"/>
                <w:szCs w:val="20"/>
                <w:lang w:val="uk-UA" w:eastAsia="uk-UA"/>
              </w:rPr>
              <w:br/>
              <w:t xml:space="preserve"> діяльності </w:t>
            </w:r>
          </w:p>
        </w:tc>
        <w:tc>
          <w:tcPr>
            <w:tcW w:w="4720" w:type="dxa"/>
            <w:gridSpan w:val="4"/>
            <w:tcBorders>
              <w:top w:val="single" w:sz="4" w:space="0" w:color="auto"/>
              <w:left w:val="nil"/>
              <w:bottom w:val="single" w:sz="4" w:space="0" w:color="auto"/>
              <w:right w:val="single" w:sz="4" w:space="0" w:color="000000"/>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не пізніше 6-го серпня 2015 року</w:t>
            </w: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1879"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1020"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5D0B9F">
        <w:trPr>
          <w:trHeight w:val="225"/>
        </w:trPr>
        <w:tc>
          <w:tcPr>
            <w:tcW w:w="8196"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2360"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3390" w:type="dxa"/>
            <w:gridSpan w:val="7"/>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57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23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745"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680"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5D0B9F">
        <w:trPr>
          <w:gridAfter w:val="5"/>
          <w:wAfter w:w="2392" w:type="dxa"/>
          <w:trHeight w:val="255"/>
        </w:trPr>
        <w:tc>
          <w:tcPr>
            <w:tcW w:w="13482" w:type="dxa"/>
            <w:gridSpan w:val="11"/>
            <w:tcBorders>
              <w:top w:val="single" w:sz="4" w:space="0" w:color="auto"/>
              <w:left w:val="single" w:sz="4" w:space="0" w:color="auto"/>
              <w:bottom w:val="nil"/>
              <w:right w:val="single" w:sz="4" w:space="0" w:color="000000"/>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b/>
                <w:bCs/>
                <w:color w:val="000000"/>
                <w:sz w:val="20"/>
                <w:szCs w:val="20"/>
                <w:lang w:val="uk-UA" w:eastAsia="uk-UA"/>
              </w:rPr>
            </w:pPr>
            <w:r w:rsidRPr="001C16E0">
              <w:rPr>
                <w:rFonts w:ascii="Times New Roman" w:eastAsia="Times New Roman" w:hAnsi="Times New Roman" w:cs="Times New Roman"/>
                <w:b/>
                <w:bCs/>
                <w:color w:val="000000"/>
                <w:sz w:val="20"/>
                <w:szCs w:val="20"/>
                <w:lang w:val="uk-UA" w:eastAsia="uk-UA"/>
              </w:rPr>
              <w:t>Респондент:</w:t>
            </w:r>
          </w:p>
        </w:tc>
        <w:tc>
          <w:tcPr>
            <w:tcW w:w="1113"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5D0B9F">
        <w:trPr>
          <w:gridAfter w:val="5"/>
          <w:wAfter w:w="2392" w:type="dxa"/>
          <w:trHeight w:val="315"/>
        </w:trPr>
        <w:tc>
          <w:tcPr>
            <w:tcW w:w="8196" w:type="dxa"/>
            <w:gridSpan w:val="3"/>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Найменування:</w:t>
            </w:r>
          </w:p>
        </w:tc>
        <w:tc>
          <w:tcPr>
            <w:tcW w:w="3500" w:type="dxa"/>
            <w:gridSpan w:val="6"/>
            <w:tcBorders>
              <w:top w:val="nil"/>
              <w:left w:val="nil"/>
              <w:bottom w:val="single" w:sz="4" w:space="0" w:color="auto"/>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786" w:type="dxa"/>
            <w:gridSpan w:val="2"/>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4"/>
                <w:szCs w:val="24"/>
                <w:lang w:val="uk-UA" w:eastAsia="uk-UA"/>
              </w:rPr>
            </w:pPr>
            <w:r w:rsidRPr="001C16E0">
              <w:rPr>
                <w:rFonts w:ascii="Times New Roman" w:eastAsia="Times New Roman" w:hAnsi="Times New Roman" w:cs="Times New Roman"/>
                <w:color w:val="000000"/>
                <w:sz w:val="24"/>
                <w:szCs w:val="24"/>
                <w:lang w:val="uk-UA" w:eastAsia="uk-UA"/>
              </w:rPr>
              <w:t> </w:t>
            </w:r>
          </w:p>
        </w:tc>
        <w:tc>
          <w:tcPr>
            <w:tcW w:w="1113"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DC0759" w:rsidRPr="001C16E0" w:rsidTr="005D0B9F">
        <w:trPr>
          <w:gridAfter w:val="5"/>
          <w:wAfter w:w="2392" w:type="dxa"/>
          <w:trHeight w:val="443"/>
        </w:trPr>
        <w:tc>
          <w:tcPr>
            <w:tcW w:w="5260" w:type="dxa"/>
            <w:tcBorders>
              <w:top w:val="nil"/>
              <w:left w:val="single" w:sz="4" w:space="0" w:color="auto"/>
              <w:bottom w:val="nil"/>
              <w:right w:val="nil"/>
            </w:tcBorders>
            <w:shd w:val="clear" w:color="auto" w:fill="auto"/>
            <w:noWrap/>
            <w:vAlign w:val="bottom"/>
          </w:tcPr>
          <w:p w:rsidR="00DC0759" w:rsidRPr="001C16E0" w:rsidRDefault="00DC0759"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Ідентифікаційний код ЄДРПОУ</w:t>
            </w:r>
          </w:p>
        </w:tc>
        <w:tc>
          <w:tcPr>
            <w:tcW w:w="6436" w:type="dxa"/>
            <w:gridSpan w:val="8"/>
            <w:tcBorders>
              <w:top w:val="single" w:sz="4" w:space="0" w:color="auto"/>
              <w:left w:val="nil"/>
              <w:bottom w:val="single" w:sz="4" w:space="0" w:color="auto"/>
              <w:right w:val="nil"/>
            </w:tcBorders>
            <w:shd w:val="clear" w:color="auto" w:fill="auto"/>
            <w:noWrap/>
            <w:vAlign w:val="bottom"/>
          </w:tcPr>
          <w:p w:rsidR="00DC0759" w:rsidRPr="001C16E0" w:rsidRDefault="00DC0759">
            <w:pPr>
              <w:rPr>
                <w:rFonts w:ascii="Times New Roman" w:eastAsia="Times New Roman" w:hAnsi="Times New Roman" w:cs="Times New Roman"/>
                <w:color w:val="000000"/>
                <w:sz w:val="20"/>
                <w:szCs w:val="20"/>
                <w:lang w:val="uk-UA" w:eastAsia="uk-UA"/>
              </w:rPr>
            </w:pPr>
          </w:p>
        </w:tc>
        <w:tc>
          <w:tcPr>
            <w:tcW w:w="1786" w:type="dxa"/>
            <w:gridSpan w:val="2"/>
            <w:tcBorders>
              <w:top w:val="nil"/>
              <w:left w:val="nil"/>
              <w:bottom w:val="nil"/>
              <w:right w:val="single" w:sz="4" w:space="0" w:color="auto"/>
            </w:tcBorders>
            <w:shd w:val="clear" w:color="auto" w:fill="auto"/>
            <w:noWrap/>
            <w:vAlign w:val="bottom"/>
          </w:tcPr>
          <w:p w:rsidR="00DC0759" w:rsidRPr="001C16E0" w:rsidRDefault="00DC0759">
            <w:pPr>
              <w:rPr>
                <w:rFonts w:ascii="Arial" w:hAnsi="Arial" w:cs="Arial"/>
                <w:color w:val="000000"/>
                <w:sz w:val="16"/>
                <w:szCs w:val="16"/>
                <w:lang w:val="uk-UA"/>
              </w:rPr>
            </w:pPr>
            <w:r w:rsidRPr="001C16E0">
              <w:rPr>
                <w:rFonts w:ascii="Arial" w:hAnsi="Arial" w:cs="Arial"/>
                <w:color w:val="000000"/>
                <w:sz w:val="16"/>
                <w:szCs w:val="16"/>
                <w:lang w:val="uk-UA"/>
              </w:rPr>
              <w:t> </w:t>
            </w:r>
          </w:p>
        </w:tc>
        <w:tc>
          <w:tcPr>
            <w:tcW w:w="1113" w:type="dxa"/>
            <w:gridSpan w:val="3"/>
            <w:tcBorders>
              <w:top w:val="nil"/>
              <w:left w:val="nil"/>
              <w:bottom w:val="nil"/>
              <w:right w:val="nil"/>
            </w:tcBorders>
            <w:shd w:val="clear" w:color="auto" w:fill="auto"/>
            <w:noWrap/>
            <w:vAlign w:val="bottom"/>
          </w:tcPr>
          <w:p w:rsidR="00DC0759" w:rsidRPr="001C16E0" w:rsidRDefault="00DC0759" w:rsidP="005D0B9F">
            <w:pPr>
              <w:spacing w:after="0" w:line="240" w:lineRule="auto"/>
              <w:rPr>
                <w:rFonts w:ascii="Arial" w:eastAsia="Times New Roman" w:hAnsi="Arial" w:cs="Arial"/>
                <w:color w:val="000000"/>
                <w:sz w:val="16"/>
                <w:szCs w:val="16"/>
                <w:lang w:val="uk-UA" w:eastAsia="uk-UA"/>
              </w:rPr>
            </w:pPr>
          </w:p>
        </w:tc>
      </w:tr>
      <w:tr w:rsidR="005D0B9F" w:rsidRPr="001C16E0" w:rsidTr="005D0B9F">
        <w:trPr>
          <w:gridAfter w:val="5"/>
          <w:wAfter w:w="2392" w:type="dxa"/>
          <w:trHeight w:val="443"/>
        </w:trPr>
        <w:tc>
          <w:tcPr>
            <w:tcW w:w="5260" w:type="dxa"/>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Місцезнаходження (юридична адреса)</w:t>
            </w:r>
          </w:p>
        </w:tc>
        <w:tc>
          <w:tcPr>
            <w:tcW w:w="6436" w:type="dxa"/>
            <w:gridSpan w:val="8"/>
            <w:tcBorders>
              <w:top w:val="single" w:sz="4" w:space="0" w:color="auto"/>
              <w:left w:val="nil"/>
              <w:bottom w:val="single" w:sz="4" w:space="0" w:color="auto"/>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786" w:type="dxa"/>
            <w:gridSpan w:val="2"/>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4"/>
                <w:szCs w:val="24"/>
                <w:lang w:val="uk-UA" w:eastAsia="uk-UA"/>
              </w:rPr>
            </w:pPr>
            <w:r w:rsidRPr="001C16E0">
              <w:rPr>
                <w:rFonts w:ascii="Times New Roman" w:eastAsia="Times New Roman" w:hAnsi="Times New Roman" w:cs="Times New Roman"/>
                <w:color w:val="000000"/>
                <w:sz w:val="24"/>
                <w:szCs w:val="24"/>
                <w:lang w:val="uk-UA" w:eastAsia="uk-UA"/>
              </w:rPr>
              <w:t> </w:t>
            </w:r>
          </w:p>
        </w:tc>
        <w:tc>
          <w:tcPr>
            <w:tcW w:w="1113"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5D0B9F">
        <w:trPr>
          <w:gridAfter w:val="6"/>
          <w:wAfter w:w="2751" w:type="dxa"/>
          <w:trHeight w:val="240"/>
        </w:trPr>
        <w:tc>
          <w:tcPr>
            <w:tcW w:w="8196" w:type="dxa"/>
            <w:gridSpan w:val="3"/>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4199" w:type="dxa"/>
            <w:gridSpan w:val="6"/>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(поштовий індекс, область, район, населений пункт, вулиця/провулок, площа тощо</w:t>
            </w:r>
          </w:p>
        </w:tc>
        <w:tc>
          <w:tcPr>
            <w:tcW w:w="851" w:type="dxa"/>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 </w:t>
            </w:r>
          </w:p>
        </w:tc>
        <w:tc>
          <w:tcPr>
            <w:tcW w:w="754"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r>
      <w:tr w:rsidR="005D0B9F" w:rsidRPr="001709BA" w:rsidTr="005D0B9F">
        <w:trPr>
          <w:gridAfter w:val="6"/>
          <w:wAfter w:w="2751" w:type="dxa"/>
          <w:trHeight w:val="323"/>
        </w:trPr>
        <w:tc>
          <w:tcPr>
            <w:tcW w:w="8196" w:type="dxa"/>
            <w:gridSpan w:val="3"/>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4199" w:type="dxa"/>
            <w:gridSpan w:val="6"/>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p>
        </w:tc>
        <w:tc>
          <w:tcPr>
            <w:tcW w:w="851" w:type="dxa"/>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w:t>
            </w:r>
          </w:p>
        </w:tc>
        <w:tc>
          <w:tcPr>
            <w:tcW w:w="754"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r>
      <w:tr w:rsidR="005D0B9F" w:rsidRPr="001709BA" w:rsidTr="005D0B9F">
        <w:trPr>
          <w:gridAfter w:val="6"/>
          <w:wAfter w:w="2751" w:type="dxa"/>
          <w:trHeight w:val="240"/>
        </w:trPr>
        <w:tc>
          <w:tcPr>
            <w:tcW w:w="8196" w:type="dxa"/>
            <w:gridSpan w:val="3"/>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4199" w:type="dxa"/>
            <w:gridSpan w:val="6"/>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N будинку/корпусу, N квартири/офісу)</w:t>
            </w:r>
          </w:p>
        </w:tc>
        <w:tc>
          <w:tcPr>
            <w:tcW w:w="851" w:type="dxa"/>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 </w:t>
            </w:r>
          </w:p>
        </w:tc>
        <w:tc>
          <w:tcPr>
            <w:tcW w:w="754"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r>
      <w:tr w:rsidR="005D0B9F" w:rsidRPr="001709BA" w:rsidTr="005D0B9F">
        <w:trPr>
          <w:gridAfter w:val="5"/>
          <w:wAfter w:w="2392" w:type="dxa"/>
          <w:trHeight w:val="315"/>
        </w:trPr>
        <w:tc>
          <w:tcPr>
            <w:tcW w:w="5260" w:type="dxa"/>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Адреса діяльності, щодо якої подається форма звітності (фактична адреса)</w:t>
            </w:r>
          </w:p>
        </w:tc>
        <w:tc>
          <w:tcPr>
            <w:tcW w:w="6436" w:type="dxa"/>
            <w:gridSpan w:val="8"/>
            <w:tcBorders>
              <w:top w:val="nil"/>
              <w:left w:val="nil"/>
              <w:bottom w:val="single" w:sz="4" w:space="0" w:color="auto"/>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w:t>
            </w:r>
          </w:p>
        </w:tc>
        <w:tc>
          <w:tcPr>
            <w:tcW w:w="1786" w:type="dxa"/>
            <w:gridSpan w:val="2"/>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4"/>
                <w:szCs w:val="24"/>
                <w:lang w:val="uk-UA" w:eastAsia="uk-UA"/>
              </w:rPr>
            </w:pPr>
            <w:r w:rsidRPr="001C16E0">
              <w:rPr>
                <w:rFonts w:ascii="Times New Roman" w:eastAsia="Times New Roman" w:hAnsi="Times New Roman" w:cs="Times New Roman"/>
                <w:color w:val="000000"/>
                <w:sz w:val="24"/>
                <w:szCs w:val="24"/>
                <w:lang w:val="uk-UA" w:eastAsia="uk-UA"/>
              </w:rPr>
              <w:t> </w:t>
            </w:r>
          </w:p>
        </w:tc>
        <w:tc>
          <w:tcPr>
            <w:tcW w:w="1113"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5D0B9F">
        <w:trPr>
          <w:gridAfter w:val="6"/>
          <w:wAfter w:w="2751" w:type="dxa"/>
          <w:trHeight w:val="315"/>
        </w:trPr>
        <w:tc>
          <w:tcPr>
            <w:tcW w:w="8196" w:type="dxa"/>
            <w:gridSpan w:val="3"/>
            <w:tcBorders>
              <w:top w:val="nil"/>
              <w:left w:val="single" w:sz="4" w:space="0" w:color="auto"/>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236"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c>
          <w:tcPr>
            <w:tcW w:w="4199" w:type="dxa"/>
            <w:gridSpan w:val="6"/>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w:t>
            </w:r>
          </w:p>
        </w:tc>
        <w:tc>
          <w:tcPr>
            <w:tcW w:w="851" w:type="dxa"/>
            <w:tcBorders>
              <w:top w:val="nil"/>
              <w:left w:val="nil"/>
              <w:bottom w:val="nil"/>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4"/>
                <w:szCs w:val="24"/>
                <w:lang w:val="uk-UA" w:eastAsia="uk-UA"/>
              </w:rPr>
            </w:pPr>
            <w:r w:rsidRPr="001C16E0">
              <w:rPr>
                <w:rFonts w:ascii="Times New Roman" w:eastAsia="Times New Roman" w:hAnsi="Times New Roman" w:cs="Times New Roman"/>
                <w:color w:val="000000"/>
                <w:sz w:val="24"/>
                <w:szCs w:val="24"/>
                <w:lang w:val="uk-UA" w:eastAsia="uk-UA"/>
              </w:rPr>
              <w:t> </w:t>
            </w:r>
          </w:p>
        </w:tc>
        <w:tc>
          <w:tcPr>
            <w:tcW w:w="754" w:type="dxa"/>
            <w:gridSpan w:val="2"/>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p>
        </w:tc>
      </w:tr>
      <w:tr w:rsidR="005D0B9F" w:rsidRPr="001709BA" w:rsidTr="005D0B9F">
        <w:trPr>
          <w:gridAfter w:val="5"/>
          <w:wAfter w:w="2392" w:type="dxa"/>
          <w:trHeight w:val="578"/>
        </w:trPr>
        <w:tc>
          <w:tcPr>
            <w:tcW w:w="11696" w:type="dxa"/>
            <w:gridSpan w:val="9"/>
            <w:tcBorders>
              <w:top w:val="single" w:sz="4" w:space="0" w:color="auto"/>
              <w:left w:val="single" w:sz="4" w:space="0" w:color="auto"/>
              <w:bottom w:val="single" w:sz="4" w:space="0" w:color="auto"/>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(поштовий індекс, область, район, населений пункт, вулиця/провулок, площа тощо, N будинку/корпусу, N квартири/офісу)</w:t>
            </w:r>
          </w:p>
        </w:tc>
        <w:tc>
          <w:tcPr>
            <w:tcW w:w="1786" w:type="dxa"/>
            <w:gridSpan w:val="2"/>
            <w:tcBorders>
              <w:top w:val="nil"/>
              <w:left w:val="nil"/>
              <w:bottom w:val="single" w:sz="4" w:space="0" w:color="auto"/>
              <w:right w:val="single" w:sz="4" w:space="0" w:color="auto"/>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000000"/>
                <w:sz w:val="18"/>
                <w:szCs w:val="18"/>
                <w:lang w:val="uk-UA" w:eastAsia="uk-UA"/>
              </w:rPr>
            </w:pPr>
            <w:r w:rsidRPr="001C16E0">
              <w:rPr>
                <w:rFonts w:ascii="Times New Roman" w:eastAsia="Times New Roman" w:hAnsi="Times New Roman" w:cs="Times New Roman"/>
                <w:i/>
                <w:iCs/>
                <w:color w:val="000000"/>
                <w:sz w:val="18"/>
                <w:szCs w:val="18"/>
                <w:lang w:val="uk-UA" w:eastAsia="uk-UA"/>
              </w:rPr>
              <w:t> </w:t>
            </w:r>
          </w:p>
        </w:tc>
        <w:tc>
          <w:tcPr>
            <w:tcW w:w="1113" w:type="dxa"/>
            <w:gridSpan w:val="3"/>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bl>
    <w:p w:rsidR="005D0B9F" w:rsidRPr="001C16E0" w:rsidRDefault="005D0B9F"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A9026A" w:rsidRPr="001C16E0" w:rsidRDefault="00A9026A"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B739EA" w:rsidRPr="001C16E0" w:rsidRDefault="00B739EA" w:rsidP="0052043C">
      <w:pPr>
        <w:spacing w:after="0" w:line="240" w:lineRule="auto"/>
        <w:ind w:firstLine="720"/>
        <w:jc w:val="both"/>
        <w:rPr>
          <w:rFonts w:ascii="Times New Roman" w:hAnsi="Times New Roman" w:cs="Times New Roman"/>
          <w:sz w:val="24"/>
          <w:lang w:val="uk-UA"/>
        </w:rPr>
      </w:pPr>
    </w:p>
    <w:tbl>
      <w:tblPr>
        <w:tblW w:w="134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276"/>
        <w:gridCol w:w="5387"/>
        <w:gridCol w:w="1134"/>
        <w:gridCol w:w="992"/>
        <w:gridCol w:w="1134"/>
        <w:gridCol w:w="1191"/>
        <w:gridCol w:w="1195"/>
      </w:tblGrid>
      <w:tr w:rsidR="00B739EA" w:rsidRPr="001709BA" w:rsidTr="00B739EA">
        <w:trPr>
          <w:trHeight w:val="562"/>
          <w:tblHeader/>
        </w:trPr>
        <w:tc>
          <w:tcPr>
            <w:tcW w:w="1149" w:type="dxa"/>
            <w:vMerge w:val="restart"/>
            <w:shd w:val="clear" w:color="auto" w:fill="auto"/>
            <w:noWrap/>
            <w:tcMar>
              <w:left w:w="28" w:type="dxa"/>
              <w:right w:w="28" w:type="dxa"/>
            </w:tcMar>
            <w:vAlign w:val="center"/>
            <w:hideMark/>
          </w:tcPr>
          <w:p w:rsidR="00B739EA" w:rsidRPr="001C16E0" w:rsidRDefault="00B739EA" w:rsidP="00B739EA">
            <w:pPr>
              <w:spacing w:after="0" w:line="240" w:lineRule="auto"/>
              <w:jc w:val="center"/>
              <w:rPr>
                <w:rFonts w:ascii="Times New Roman" w:eastAsia="Times New Roman" w:hAnsi="Times New Roman" w:cs="Times New Roman"/>
                <w:color w:val="000000"/>
                <w:sz w:val="20"/>
                <w:szCs w:val="20"/>
                <w:lang w:val="uk-UA" w:eastAsia="uk-UA"/>
              </w:rPr>
            </w:pPr>
          </w:p>
          <w:p w:rsidR="00B739EA" w:rsidRPr="001C16E0" w:rsidRDefault="00B739EA"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Державний/місцевий бюджет</w:t>
            </w:r>
          </w:p>
        </w:tc>
        <w:tc>
          <w:tcPr>
            <w:tcW w:w="1276" w:type="dxa"/>
            <w:vMerge w:val="restart"/>
            <w:shd w:val="clear" w:color="auto" w:fill="auto"/>
            <w:tcMar>
              <w:left w:w="28" w:type="dxa"/>
              <w:right w:w="28" w:type="dxa"/>
            </w:tcMar>
            <w:vAlign w:val="center"/>
          </w:tcPr>
          <w:p w:rsidR="00B739EA" w:rsidRPr="001C16E0" w:rsidRDefault="00B739EA"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b/>
                <w:bCs/>
                <w:color w:val="000000"/>
                <w:sz w:val="20"/>
                <w:szCs w:val="20"/>
                <w:lang w:val="uk-UA" w:eastAsia="uk-UA"/>
              </w:rPr>
              <w:t>ККДБ</w:t>
            </w:r>
          </w:p>
        </w:tc>
        <w:tc>
          <w:tcPr>
            <w:tcW w:w="5387" w:type="dxa"/>
            <w:vMerge w:val="restart"/>
            <w:shd w:val="clear" w:color="auto" w:fill="auto"/>
            <w:vAlign w:val="center"/>
          </w:tcPr>
          <w:p w:rsidR="00B739EA" w:rsidRPr="001C16E0" w:rsidRDefault="00B739EA"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Назва платежу</w:t>
            </w:r>
          </w:p>
        </w:tc>
        <w:tc>
          <w:tcPr>
            <w:tcW w:w="3260" w:type="dxa"/>
            <w:gridSpan w:val="3"/>
            <w:shd w:val="clear" w:color="auto" w:fill="auto"/>
            <w:vAlign w:val="center"/>
            <w:hideMark/>
          </w:tcPr>
          <w:p w:rsidR="00B739EA" w:rsidRPr="001C16E0" w:rsidRDefault="00B739EA" w:rsidP="005D0B9F">
            <w:pPr>
              <w:spacing w:after="0" w:line="240" w:lineRule="auto"/>
              <w:jc w:val="center"/>
              <w:rPr>
                <w:rFonts w:ascii="Times New Roman" w:eastAsia="Times New Roman" w:hAnsi="Times New Roman" w:cs="Times New Roman"/>
                <w:b/>
                <w:bCs/>
                <w:color w:val="000000"/>
                <w:sz w:val="20"/>
                <w:szCs w:val="20"/>
                <w:lang w:val="uk-UA" w:eastAsia="uk-UA"/>
              </w:rPr>
            </w:pPr>
            <w:r w:rsidRPr="001C16E0">
              <w:rPr>
                <w:rFonts w:ascii="Times New Roman" w:eastAsia="Times New Roman" w:hAnsi="Times New Roman" w:cs="Times New Roman"/>
                <w:b/>
                <w:bCs/>
                <w:color w:val="000000"/>
                <w:sz w:val="20"/>
                <w:szCs w:val="20"/>
                <w:lang w:val="uk-UA" w:eastAsia="uk-UA"/>
              </w:rPr>
              <w:t>Інформація по нарахуванню за звітний рік, тис грн.</w:t>
            </w:r>
          </w:p>
        </w:tc>
        <w:tc>
          <w:tcPr>
            <w:tcW w:w="2386" w:type="dxa"/>
            <w:gridSpan w:val="2"/>
            <w:shd w:val="clear" w:color="auto" w:fill="auto"/>
            <w:vAlign w:val="center"/>
            <w:hideMark/>
          </w:tcPr>
          <w:p w:rsidR="00B739EA" w:rsidRPr="001C16E0" w:rsidRDefault="00B739EA" w:rsidP="005D0B9F">
            <w:pPr>
              <w:spacing w:after="0" w:line="240" w:lineRule="auto"/>
              <w:jc w:val="center"/>
              <w:rPr>
                <w:rFonts w:ascii="Times New Roman" w:eastAsia="Times New Roman" w:hAnsi="Times New Roman" w:cs="Times New Roman"/>
                <w:b/>
                <w:bCs/>
                <w:color w:val="000000"/>
                <w:sz w:val="20"/>
                <w:szCs w:val="20"/>
                <w:lang w:val="uk-UA" w:eastAsia="uk-UA"/>
              </w:rPr>
            </w:pPr>
            <w:r w:rsidRPr="001C16E0">
              <w:rPr>
                <w:rFonts w:ascii="Times New Roman" w:eastAsia="Times New Roman" w:hAnsi="Times New Roman" w:cs="Times New Roman"/>
                <w:b/>
                <w:bCs/>
                <w:color w:val="000000"/>
                <w:sz w:val="20"/>
                <w:szCs w:val="20"/>
                <w:lang w:val="uk-UA" w:eastAsia="uk-UA"/>
              </w:rPr>
              <w:t>Сплата у звітному році, тис грн.</w:t>
            </w:r>
          </w:p>
        </w:tc>
      </w:tr>
      <w:tr w:rsidR="00B739EA" w:rsidRPr="001709BA" w:rsidTr="00B739EA">
        <w:trPr>
          <w:trHeight w:val="920"/>
          <w:tblHeader/>
        </w:trPr>
        <w:tc>
          <w:tcPr>
            <w:tcW w:w="1149" w:type="dxa"/>
            <w:vMerge/>
            <w:tcBorders>
              <w:bottom w:val="single" w:sz="4" w:space="0" w:color="auto"/>
            </w:tcBorders>
            <w:shd w:val="clear" w:color="auto" w:fill="auto"/>
            <w:tcMar>
              <w:left w:w="28" w:type="dxa"/>
              <w:right w:w="28" w:type="dxa"/>
            </w:tcMar>
            <w:vAlign w:val="center"/>
            <w:hideMark/>
          </w:tcPr>
          <w:p w:rsidR="00B739EA" w:rsidRPr="001C16E0" w:rsidRDefault="00B739EA" w:rsidP="00B739EA">
            <w:pPr>
              <w:spacing w:after="0" w:line="240" w:lineRule="auto"/>
              <w:jc w:val="center"/>
              <w:rPr>
                <w:rFonts w:ascii="Times New Roman" w:eastAsia="Times New Roman" w:hAnsi="Times New Roman" w:cs="Times New Roman"/>
                <w:b/>
                <w:bCs/>
                <w:i/>
                <w:iCs/>
                <w:color w:val="000000"/>
                <w:sz w:val="20"/>
                <w:szCs w:val="20"/>
                <w:lang w:val="uk-UA" w:eastAsia="uk-UA"/>
              </w:rPr>
            </w:pPr>
          </w:p>
        </w:tc>
        <w:tc>
          <w:tcPr>
            <w:tcW w:w="1276" w:type="dxa"/>
            <w:vMerge/>
            <w:tcBorders>
              <w:bottom w:val="single" w:sz="4" w:space="0" w:color="auto"/>
            </w:tcBorders>
            <w:shd w:val="clear" w:color="auto" w:fill="auto"/>
            <w:tcMar>
              <w:left w:w="28" w:type="dxa"/>
              <w:right w:w="28" w:type="dxa"/>
            </w:tcMar>
            <w:vAlign w:val="center"/>
            <w:hideMark/>
          </w:tcPr>
          <w:p w:rsidR="00B739EA" w:rsidRPr="001C16E0" w:rsidRDefault="00B739EA" w:rsidP="00B739EA">
            <w:pPr>
              <w:spacing w:after="0" w:line="240" w:lineRule="auto"/>
              <w:jc w:val="center"/>
              <w:rPr>
                <w:rFonts w:ascii="Times New Roman" w:eastAsia="Times New Roman" w:hAnsi="Times New Roman" w:cs="Times New Roman"/>
                <w:b/>
                <w:bCs/>
                <w:color w:val="000000"/>
                <w:sz w:val="20"/>
                <w:szCs w:val="20"/>
                <w:lang w:val="uk-UA" w:eastAsia="uk-UA"/>
              </w:rPr>
            </w:pPr>
          </w:p>
        </w:tc>
        <w:tc>
          <w:tcPr>
            <w:tcW w:w="5387" w:type="dxa"/>
            <w:vMerge/>
            <w:tcBorders>
              <w:bottom w:val="single" w:sz="4" w:space="0" w:color="auto"/>
            </w:tcBorders>
            <w:shd w:val="clear" w:color="auto" w:fill="auto"/>
            <w:noWrap/>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p>
        </w:tc>
        <w:tc>
          <w:tcPr>
            <w:tcW w:w="1134" w:type="dxa"/>
            <w:tcBorders>
              <w:bottom w:val="single" w:sz="4" w:space="0" w:color="auto"/>
            </w:tcBorders>
            <w:shd w:val="clear" w:color="auto" w:fill="auto"/>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База оподаткування</w:t>
            </w:r>
          </w:p>
        </w:tc>
        <w:tc>
          <w:tcPr>
            <w:tcW w:w="992" w:type="dxa"/>
            <w:tcBorders>
              <w:bottom w:val="single" w:sz="4" w:space="0" w:color="auto"/>
            </w:tcBorders>
            <w:shd w:val="clear" w:color="auto" w:fill="auto"/>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Ставка податку</w:t>
            </w:r>
          </w:p>
        </w:tc>
        <w:tc>
          <w:tcPr>
            <w:tcW w:w="1134" w:type="dxa"/>
            <w:tcBorders>
              <w:bottom w:val="single" w:sz="4" w:space="0" w:color="auto"/>
            </w:tcBorders>
            <w:shd w:val="clear" w:color="auto" w:fill="auto"/>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proofErr w:type="spellStart"/>
            <w:r w:rsidRPr="001C16E0">
              <w:rPr>
                <w:rFonts w:ascii="Times New Roman" w:eastAsia="Times New Roman" w:hAnsi="Times New Roman" w:cs="Times New Roman"/>
                <w:b/>
                <w:bCs/>
                <w:i/>
                <w:iCs/>
                <w:color w:val="000000"/>
                <w:sz w:val="20"/>
                <w:szCs w:val="20"/>
                <w:lang w:val="uk-UA" w:eastAsia="uk-UA"/>
              </w:rPr>
              <w:t>Нараховано</w:t>
            </w:r>
            <w:proofErr w:type="spellEnd"/>
            <w:r w:rsidRPr="001C16E0">
              <w:rPr>
                <w:rFonts w:ascii="Times New Roman" w:eastAsia="Times New Roman" w:hAnsi="Times New Roman" w:cs="Times New Roman"/>
                <w:b/>
                <w:bCs/>
                <w:i/>
                <w:iCs/>
                <w:color w:val="000000"/>
                <w:sz w:val="20"/>
                <w:szCs w:val="20"/>
                <w:lang w:val="uk-UA" w:eastAsia="uk-UA"/>
              </w:rPr>
              <w:t xml:space="preserve"> за звітний рік</w:t>
            </w:r>
          </w:p>
        </w:tc>
        <w:tc>
          <w:tcPr>
            <w:tcW w:w="1191" w:type="dxa"/>
            <w:tcBorders>
              <w:bottom w:val="single" w:sz="4" w:space="0" w:color="auto"/>
            </w:tcBorders>
            <w:shd w:val="clear" w:color="auto" w:fill="auto"/>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Сплачено у звітному році, всього</w:t>
            </w:r>
          </w:p>
        </w:tc>
        <w:tc>
          <w:tcPr>
            <w:tcW w:w="1195" w:type="dxa"/>
            <w:tcBorders>
              <w:bottom w:val="single" w:sz="4" w:space="0" w:color="auto"/>
            </w:tcBorders>
            <w:shd w:val="clear" w:color="auto" w:fill="auto"/>
            <w:tcMar>
              <w:left w:w="28" w:type="dxa"/>
              <w:right w:w="28" w:type="dxa"/>
            </w:tcMar>
            <w:vAlign w:val="center"/>
            <w:hideMark/>
          </w:tcPr>
          <w:p w:rsidR="00B739EA" w:rsidRPr="001C16E0" w:rsidRDefault="00B739EA" w:rsidP="005D0B9F">
            <w:pPr>
              <w:spacing w:after="0" w:line="240" w:lineRule="auto"/>
              <w:jc w:val="center"/>
              <w:rPr>
                <w:rFonts w:ascii="Times New Roman" w:eastAsia="Times New Roman" w:hAnsi="Times New Roman" w:cs="Times New Roman"/>
                <w:b/>
                <w:bCs/>
                <w:i/>
                <w:iCs/>
                <w:color w:val="000000"/>
                <w:sz w:val="20"/>
                <w:szCs w:val="20"/>
                <w:lang w:val="uk-UA" w:eastAsia="uk-UA"/>
              </w:rPr>
            </w:pPr>
            <w:r w:rsidRPr="001C16E0">
              <w:rPr>
                <w:rFonts w:ascii="Times New Roman" w:eastAsia="Times New Roman" w:hAnsi="Times New Roman" w:cs="Times New Roman"/>
                <w:b/>
                <w:bCs/>
                <w:i/>
                <w:iCs/>
                <w:color w:val="000000"/>
                <w:sz w:val="20"/>
                <w:szCs w:val="20"/>
                <w:lang w:val="uk-UA" w:eastAsia="uk-UA"/>
              </w:rPr>
              <w:t>В тому числі за попередні роки</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969696"/>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Податки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969696"/>
                <w:sz w:val="16"/>
                <w:szCs w:val="16"/>
                <w:lang w:val="uk-UA" w:eastAsia="uk-UA"/>
              </w:rPr>
            </w:pPr>
            <w:r w:rsidRPr="001C16E0">
              <w:rPr>
                <w:rFonts w:ascii="Times New Roman" w:eastAsia="Times New Roman" w:hAnsi="Times New Roman" w:cs="Times New Roman"/>
                <w:b/>
                <w:b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969696"/>
                <w:sz w:val="16"/>
                <w:szCs w:val="16"/>
                <w:lang w:val="uk-UA" w:eastAsia="uk-UA"/>
              </w:rPr>
            </w:pPr>
            <w:r w:rsidRPr="001C16E0">
              <w:rPr>
                <w:rFonts w:ascii="Times New Roman" w:eastAsia="Times New Roman" w:hAnsi="Times New Roman" w:cs="Times New Roman"/>
                <w:b/>
                <w:b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11020000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Податок на прибуток</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11020100 - 11024600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 Податок на прибуток підприємства, видобувна діяльність</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11020100 - 11024600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 Податок на прибуток підприємства, інші види діяльності</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11010000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Податок на доходи фізичних осіб</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11010100-11010700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Податок на доходи фізичних осіб,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11010100-11010700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Податок на доходи фізичних осіб,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12020000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Податок з власників транспортних засобів та інших самохідних машин і механізмів</w:t>
            </w:r>
            <w:r w:rsidRPr="001C16E0">
              <w:rPr>
                <w:rFonts w:ascii="Times New Roman" w:eastAsia="Times New Roman" w:hAnsi="Times New Roman" w:cs="Times New Roman"/>
                <w:color w:val="000000"/>
                <w:sz w:val="20"/>
                <w:szCs w:val="20"/>
                <w:lang w:val="uk-UA" w:eastAsia="uk-UA"/>
              </w:rPr>
              <w:t>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12020100 - 12031200</w:t>
            </w:r>
          </w:p>
        </w:tc>
        <w:tc>
          <w:tcPr>
            <w:tcW w:w="5387"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першу реєстрацію транспортного засобу, видобувна діяльність</w:t>
            </w:r>
          </w:p>
        </w:tc>
        <w:tc>
          <w:tcPr>
            <w:tcW w:w="1134"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12020100 - 12031200</w:t>
            </w:r>
          </w:p>
        </w:tc>
        <w:tc>
          <w:tcPr>
            <w:tcW w:w="5387"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першу реєстрацію транспортного засобу, інші види діяльності</w:t>
            </w:r>
          </w:p>
        </w:tc>
        <w:tc>
          <w:tcPr>
            <w:tcW w:w="1134"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13030000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Плата за користування надрами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008000"/>
                <w:sz w:val="20"/>
                <w:szCs w:val="20"/>
                <w:lang w:val="uk-UA" w:eastAsia="uk-UA"/>
              </w:rPr>
              <w:t>ДБ</w:t>
            </w:r>
            <w:r w:rsidRPr="001C16E0">
              <w:rPr>
                <w:rFonts w:ascii="Times New Roman" w:eastAsia="Times New Roman" w:hAnsi="Times New Roman" w:cs="Times New Roman"/>
                <w:b/>
                <w:bCs/>
                <w:color w:val="333399"/>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13030100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для видобування корисних копалин загальнодержавного значення </w:t>
            </w:r>
          </w:p>
        </w:tc>
        <w:tc>
          <w:tcPr>
            <w:tcW w:w="1134"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13030200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для видобування корисних копалин місцевого значення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13030400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континентального шельфу і в межах виключної (морської) економічної зони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13030500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Плата/Надходження сум </w:t>
            </w:r>
            <w:proofErr w:type="spellStart"/>
            <w:r w:rsidRPr="001C16E0">
              <w:rPr>
                <w:rFonts w:ascii="Times New Roman" w:eastAsia="Times New Roman" w:hAnsi="Times New Roman" w:cs="Times New Roman"/>
                <w:color w:val="000000"/>
                <w:sz w:val="20"/>
                <w:szCs w:val="20"/>
                <w:lang w:val="uk-UA" w:eastAsia="uk-UA"/>
              </w:rPr>
              <w:t>реструктурованої</w:t>
            </w:r>
            <w:proofErr w:type="spellEnd"/>
            <w:r w:rsidRPr="001C16E0">
              <w:rPr>
                <w:rFonts w:ascii="Times New Roman" w:eastAsia="Times New Roman" w:hAnsi="Times New Roman" w:cs="Times New Roman"/>
                <w:color w:val="000000"/>
                <w:sz w:val="20"/>
                <w:szCs w:val="20"/>
                <w:lang w:val="uk-UA" w:eastAsia="uk-UA"/>
              </w:rPr>
              <w:t xml:space="preserve"> заборгованості зі сплати плати за користування надрами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в цілях, не пов'язаних з видобуванням корисних копалин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13030700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для видобування нафти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13030800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для видобування природного газу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13030900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користування надрами для видобування газового конденсату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13050000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Плата за землю</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13050100 - </w:t>
            </w:r>
            <w:r w:rsidRPr="001C16E0">
              <w:rPr>
                <w:rFonts w:ascii="Times New Roman" w:eastAsia="Times New Roman" w:hAnsi="Times New Roman" w:cs="Times New Roman"/>
                <w:color w:val="000000"/>
                <w:sz w:val="20"/>
                <w:szCs w:val="20"/>
                <w:lang w:val="uk-UA" w:eastAsia="uk-UA"/>
              </w:rPr>
              <w:lastRenderedPageBreak/>
              <w:t>13050600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lastRenderedPageBreak/>
              <w:t>Плата за землю,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lastRenderedPageBreak/>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13050100 - 13050600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землю,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13020000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Збір за спеціальне використання води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008000"/>
                <w:sz w:val="20"/>
                <w:szCs w:val="20"/>
                <w:lang w:val="uk-UA" w:eastAsia="uk-UA"/>
              </w:rPr>
              <w:t>ДБ</w:t>
            </w:r>
            <w:r w:rsidRPr="001C16E0">
              <w:rPr>
                <w:rFonts w:ascii="Times New Roman" w:eastAsia="Times New Roman" w:hAnsi="Times New Roman" w:cs="Times New Roman"/>
                <w:b/>
                <w:bCs/>
                <w:color w:val="333399"/>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спеціальне використання води,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008000"/>
                <w:sz w:val="20"/>
                <w:szCs w:val="20"/>
                <w:lang w:val="uk-UA" w:eastAsia="uk-UA"/>
              </w:rPr>
              <w:t>ДБ</w:t>
            </w:r>
            <w:r w:rsidRPr="001C16E0">
              <w:rPr>
                <w:rFonts w:ascii="Times New Roman" w:eastAsia="Times New Roman" w:hAnsi="Times New Roman" w:cs="Times New Roman"/>
                <w:b/>
                <w:bCs/>
                <w:color w:val="333399"/>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спеціальне використання води,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13010000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Збір за спеціальне використання лісових ресурсів</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спеціальне використання лісових ресурсів,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спеціальне використання лісових ресурсів, інші види діяльності</w:t>
            </w:r>
          </w:p>
        </w:tc>
        <w:tc>
          <w:tcPr>
            <w:tcW w:w="1134"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13070000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Плата за використання інших природних ресурсів</w:t>
            </w:r>
          </w:p>
        </w:tc>
        <w:tc>
          <w:tcPr>
            <w:tcW w:w="1134"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13070000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використання інших природних ресурсів, видобувна діяльність  </w:t>
            </w:r>
          </w:p>
        </w:tc>
        <w:tc>
          <w:tcPr>
            <w:tcW w:w="1134"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13070000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використання інших природних ресурсів, інші види діяльності  </w:t>
            </w:r>
          </w:p>
        </w:tc>
        <w:tc>
          <w:tcPr>
            <w:tcW w:w="1134"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14010000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Податок на додану вартість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14010100, 14010300 - 14010700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Податок на додану вартість, видобувна діяльність</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52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14010100, 14010300 - 14010700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Податок на додану вартість, інші види діяльності</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14010200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Бюджетне відшкодування податку на додану вартість грошовими коштами </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178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14010900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Податкова заборгованість з податку на додану вартість підприємств, додаткові податкові зобов'язання з цього податку, розстрочені податкові зобов'язання НАК "Нафтогаз України" та її підприємств з податку на додану вартість (у тому числі відсотки за користування податковим кредитом), що спрямовуються на розрахунки з погашення заборгованості з різниці в тарифах на теплову енергію, послуги з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w:t>
            </w:r>
            <w:r w:rsidRPr="001C16E0">
              <w:rPr>
                <w:rFonts w:ascii="Times New Roman" w:eastAsia="Times New Roman" w:hAnsi="Times New Roman" w:cs="Times New Roman"/>
                <w:color w:val="000000"/>
                <w:sz w:val="20"/>
                <w:szCs w:val="20"/>
                <w:lang w:val="uk-UA" w:eastAsia="uk-UA"/>
              </w:rPr>
              <w:lastRenderedPageBreak/>
              <w:t>теплової енергії, послуг з водопостачання та водовідведення тарифам, що затверджувалися або погоджувалися відповідними органами державної влади чи органами місцевого самоврядування  </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lastRenderedPageBreak/>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153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lastRenderedPageBreak/>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14011100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Податкова заборгованість з податку на додану вартість підприємств, додаткові податкові зобов'язання з цього податку, розстрочені податкові зобов'язання НАК "Нафтогаз України" та її підприємств з податку на додану вартість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1C16E0">
              <w:rPr>
                <w:rFonts w:ascii="Times New Roman" w:eastAsia="Times New Roman" w:hAnsi="Times New Roman" w:cs="Times New Roman"/>
                <w:color w:val="000000"/>
                <w:sz w:val="20"/>
                <w:szCs w:val="20"/>
                <w:lang w:val="uk-UA" w:eastAsia="uk-UA"/>
              </w:rPr>
              <w:t>тепло-</w:t>
            </w:r>
            <w:proofErr w:type="spellEnd"/>
            <w:r w:rsidRPr="001C16E0">
              <w:rPr>
                <w:rFonts w:ascii="Times New Roman" w:eastAsia="Times New Roman" w:hAnsi="Times New Roman" w:cs="Times New Roman"/>
                <w:color w:val="000000"/>
                <w:sz w:val="20"/>
                <w:szCs w:val="20"/>
                <w:lang w:val="uk-UA" w:eastAsia="uk-UA"/>
              </w:rPr>
              <w:t>, водопостачання і водовідведення, квартирної плати, вивезення побутового сміття та рідких нечистот  </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7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b/>
                <w:bCs/>
                <w:i/>
                <w:iCs/>
                <w:color w:val="D9D9D9"/>
                <w:sz w:val="20"/>
                <w:szCs w:val="20"/>
                <w:lang w:val="uk-UA" w:eastAsia="uk-UA"/>
              </w:rPr>
            </w:pPr>
            <w:r w:rsidRPr="001C16E0">
              <w:rPr>
                <w:rFonts w:ascii="Times New Roman" w:eastAsia="Times New Roman" w:hAnsi="Times New Roman" w:cs="Times New Roman"/>
                <w:b/>
                <w:bCs/>
                <w:i/>
                <w:iCs/>
                <w:color w:val="D9D9D9"/>
                <w:sz w:val="20"/>
                <w:szCs w:val="20"/>
                <w:lang w:val="uk-UA" w:eastAsia="uk-UA"/>
              </w:rPr>
              <w:t>Мито</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5"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000000"/>
                <w:sz w:val="20"/>
                <w:szCs w:val="20"/>
                <w:lang w:val="uk-UA" w:eastAsia="uk-UA"/>
              </w:rPr>
            </w:pPr>
            <w:r w:rsidRPr="001C16E0">
              <w:rPr>
                <w:rFonts w:ascii="Times New Roman" w:eastAsia="Times New Roman" w:hAnsi="Times New Roman" w:cs="Times New Roman"/>
                <w:i/>
                <w:iCs/>
                <w:color w:val="000000"/>
                <w:sz w:val="20"/>
                <w:szCs w:val="20"/>
                <w:lang w:val="uk-UA" w:eastAsia="uk-UA"/>
              </w:rPr>
              <w:t>15010000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Ввізне мито</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000000"/>
                <w:sz w:val="20"/>
                <w:szCs w:val="20"/>
                <w:lang w:val="uk-UA" w:eastAsia="uk-UA"/>
              </w:rPr>
            </w:pPr>
            <w:r w:rsidRPr="001C16E0">
              <w:rPr>
                <w:rFonts w:ascii="Times New Roman" w:eastAsia="Times New Roman" w:hAnsi="Times New Roman" w:cs="Times New Roman"/>
                <w:i/>
                <w:iCs/>
                <w:color w:val="000000"/>
                <w:sz w:val="20"/>
                <w:szCs w:val="20"/>
                <w:lang w:val="uk-UA" w:eastAsia="uk-UA"/>
              </w:rPr>
              <w:t>15020000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Вивізне мито</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7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i/>
                <w:iCs/>
                <w:color w:val="D9D9D9"/>
                <w:sz w:val="20"/>
                <w:szCs w:val="20"/>
                <w:lang w:val="uk-UA" w:eastAsia="uk-UA"/>
              </w:rPr>
            </w:pPr>
            <w:r w:rsidRPr="001C16E0">
              <w:rPr>
                <w:rFonts w:ascii="Times New Roman" w:eastAsia="Times New Roman" w:hAnsi="Times New Roman" w:cs="Times New Roman"/>
                <w:b/>
                <w:bCs/>
                <w:i/>
                <w:iCs/>
                <w:color w:val="D9D9D9"/>
                <w:sz w:val="20"/>
                <w:szCs w:val="20"/>
                <w:lang w:val="uk-UA" w:eastAsia="uk-UA"/>
              </w:rPr>
              <w:t>17000000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b/>
                <w:bCs/>
                <w:i/>
                <w:iCs/>
                <w:color w:val="D9D9D9"/>
                <w:sz w:val="20"/>
                <w:szCs w:val="20"/>
                <w:lang w:val="uk-UA" w:eastAsia="uk-UA"/>
              </w:rPr>
            </w:pPr>
            <w:r w:rsidRPr="001C16E0">
              <w:rPr>
                <w:rFonts w:ascii="Times New Roman" w:eastAsia="Times New Roman" w:hAnsi="Times New Roman" w:cs="Times New Roman"/>
                <w:b/>
                <w:bCs/>
                <w:i/>
                <w:iCs/>
                <w:color w:val="D9D9D9"/>
                <w:sz w:val="20"/>
                <w:szCs w:val="20"/>
                <w:lang w:val="uk-UA" w:eastAsia="uk-UA"/>
              </w:rPr>
              <w:t>Рентна плата, збори на паливно-енергетичні ресурси</w:t>
            </w:r>
            <w:r w:rsidRPr="001C16E0">
              <w:rPr>
                <w:rFonts w:ascii="Times New Roman" w:eastAsia="Times New Roman" w:hAnsi="Times New Roman" w:cs="Times New Roman"/>
                <w:color w:val="C0C0C0"/>
                <w:sz w:val="20"/>
                <w:szCs w:val="20"/>
                <w:lang w:val="uk-UA" w:eastAsia="uk-UA"/>
              </w:rPr>
              <w:t>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5"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17010000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17010100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нафту, що видобувається в Україні, нарахована до 1 січня 2013 року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17010200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природний газ, що видобувається в Україні, нарахована до 1 січня 2013 року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17010300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газовий конденсат, що видобувається в Україні, нарахована до 1 січня 2013 року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17010400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Плата/Надходження сум </w:t>
            </w:r>
            <w:proofErr w:type="spellStart"/>
            <w:r w:rsidRPr="001C16E0">
              <w:rPr>
                <w:rFonts w:ascii="Times New Roman" w:eastAsia="Times New Roman" w:hAnsi="Times New Roman" w:cs="Times New Roman"/>
                <w:color w:val="000000"/>
                <w:sz w:val="20"/>
                <w:szCs w:val="20"/>
                <w:lang w:val="uk-UA" w:eastAsia="uk-UA"/>
              </w:rPr>
              <w:t>реструктурованої</w:t>
            </w:r>
            <w:proofErr w:type="spellEnd"/>
            <w:r w:rsidRPr="001C16E0">
              <w:rPr>
                <w:rFonts w:ascii="Times New Roman" w:eastAsia="Times New Roman" w:hAnsi="Times New Roman" w:cs="Times New Roman"/>
                <w:color w:val="000000"/>
                <w:sz w:val="20"/>
                <w:szCs w:val="20"/>
                <w:lang w:val="uk-UA" w:eastAsia="uk-UA"/>
              </w:rPr>
              <w:t xml:space="preserve"> заборгованості зі сплати рентної плати за нафту, що видобувається в Україні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17010500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Плата/Надходження сум </w:t>
            </w:r>
            <w:proofErr w:type="spellStart"/>
            <w:r w:rsidRPr="001C16E0">
              <w:rPr>
                <w:rFonts w:ascii="Times New Roman" w:eastAsia="Times New Roman" w:hAnsi="Times New Roman" w:cs="Times New Roman"/>
                <w:color w:val="000000"/>
                <w:sz w:val="20"/>
                <w:szCs w:val="20"/>
                <w:lang w:val="uk-UA" w:eastAsia="uk-UA"/>
              </w:rPr>
              <w:t>реструктурованої</w:t>
            </w:r>
            <w:proofErr w:type="spellEnd"/>
            <w:r w:rsidRPr="001C16E0">
              <w:rPr>
                <w:rFonts w:ascii="Times New Roman" w:eastAsia="Times New Roman" w:hAnsi="Times New Roman" w:cs="Times New Roman"/>
                <w:color w:val="000000"/>
                <w:sz w:val="20"/>
                <w:szCs w:val="20"/>
                <w:lang w:val="uk-UA" w:eastAsia="uk-UA"/>
              </w:rPr>
              <w:t xml:space="preserve"> заборгованості зі сплати рентної плати за природний газ, що видобувається в </w:t>
            </w:r>
            <w:r w:rsidRPr="001C16E0">
              <w:rPr>
                <w:rFonts w:ascii="Times New Roman" w:eastAsia="Times New Roman" w:hAnsi="Times New Roman" w:cs="Times New Roman"/>
                <w:color w:val="000000"/>
                <w:sz w:val="20"/>
                <w:szCs w:val="20"/>
                <w:lang w:val="uk-UA" w:eastAsia="uk-UA"/>
              </w:rPr>
              <w:lastRenderedPageBreak/>
              <w:t>Україні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lastRenderedPageBreak/>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lastRenderedPageBreak/>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17010700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транзитне транспортування трубопроводами природного газу територією України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17010800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транспортування нафти та нафтопродуктів магістральними нафтопроводами та нафтопродуктопроводами територією України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17010900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Рентна плата за транзитне транспортування трубопроводами аміаку територією України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178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17011200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Податкова заборгованість з рентної плати за транзитне транспортування трубопроводами природного газу територією України, розстрочені податкові зобов'язання НАК "Нафтогаз України" та її підприємств з цього податку (у тому числі відсотки за користування податковим кредитом), що спрямовуються на розрахунки з погашення заборгованості з різниці в тарифах на теплову енергію, послуги з водопостачання та водовідведення, що вироблялися, транспортувалися та постачалися населенню, яка виникла у зв'язку з невідповідністю фактичної вартості теплової енергії, послуг з водопостачання та водовідведення тарифам, що затверджувалися або погоджувалися відповідними органами державної влади чи органами місцевого самоврядування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153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17011500</w:t>
            </w:r>
          </w:p>
        </w:tc>
        <w:tc>
          <w:tcPr>
            <w:tcW w:w="5387"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Податкова заборгованість з рентної плати за транзитне транспортування трубопроводами природного газу територією України, розстрочені податкові зобов'язання НАК "Нафтогаз України" та її підприємств з цього податку (у тому числі відсотки за користування податковим кредитом), що спрямовуються на субвенцію з державного бюджету місцевим бюджетам на надання пільг та житлових субсидій населенню на оплату електроенергії, природного газу, послуг </w:t>
            </w:r>
            <w:proofErr w:type="spellStart"/>
            <w:r w:rsidRPr="001C16E0">
              <w:rPr>
                <w:rFonts w:ascii="Times New Roman" w:eastAsia="Times New Roman" w:hAnsi="Times New Roman" w:cs="Times New Roman"/>
                <w:color w:val="000000"/>
                <w:sz w:val="20"/>
                <w:szCs w:val="20"/>
                <w:lang w:val="uk-UA" w:eastAsia="uk-UA"/>
              </w:rPr>
              <w:t>тепло-</w:t>
            </w:r>
            <w:proofErr w:type="spellEnd"/>
            <w:r w:rsidRPr="001C16E0">
              <w:rPr>
                <w:rFonts w:ascii="Times New Roman" w:eastAsia="Times New Roman" w:hAnsi="Times New Roman" w:cs="Times New Roman"/>
                <w:color w:val="000000"/>
                <w:sz w:val="20"/>
                <w:szCs w:val="20"/>
                <w:lang w:val="uk-UA" w:eastAsia="uk-UA"/>
              </w:rPr>
              <w:t>, водопостачання і водовідведення, квартирної плати, вивезення побутового сміття та рідких нечистот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17060000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у вигляді цільової надбавки до діючого тарифу на природний газ для споживачів усіх форм власності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19010000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Екологічний податок</w:t>
            </w:r>
            <w:r w:rsidRPr="001C16E0">
              <w:rPr>
                <w:rFonts w:ascii="Times New Roman" w:eastAsia="Times New Roman" w:hAnsi="Times New Roman" w:cs="Times New Roman"/>
                <w:color w:val="000000"/>
                <w:sz w:val="20"/>
                <w:szCs w:val="20"/>
                <w:lang w:val="uk-UA" w:eastAsia="uk-UA"/>
              </w:rPr>
              <w:t>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c>
          <w:tcPr>
            <w:tcW w:w="1195" w:type="dxa"/>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i/>
                <w:iCs/>
                <w:color w:val="BFBFBF"/>
                <w:sz w:val="16"/>
                <w:szCs w:val="16"/>
                <w:lang w:val="uk-UA" w:eastAsia="uk-UA"/>
              </w:rPr>
            </w:pPr>
            <w:r w:rsidRPr="001C16E0">
              <w:rPr>
                <w:rFonts w:ascii="Times New Roman" w:eastAsia="Times New Roman" w:hAnsi="Times New Roman" w:cs="Times New Roman"/>
                <w:i/>
                <w:iCs/>
                <w:color w:val="BFBFBF"/>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19010100 - 19010900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Екологічний податок,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19010100 - 19010900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Екологічний податок, інших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Неподаткові надходження/платежі</w:t>
            </w:r>
          </w:p>
        </w:tc>
        <w:tc>
          <w:tcPr>
            <w:tcW w:w="1134"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21000000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Дивіденди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21010000-21010900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Частина чистого прибутку (доходу) державних або комунальних унітарних підприємств та їх об'єднань, що вилучається до відповідного бюджету,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21010000-21010900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Частина чистого прибутку (доходу) державних або комунальних унітарних підприємств та їх об'єднань, що вилучається до відповідного бюджету,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49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21010000-21010900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Дивіденди (дохід), нараховані на акції (частки, паї) господарських товариств, у статутних капіталах яких є державна власність,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21010000-21010900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Дивіденди (дохід), нараховані на акції (частки, паї) господарських товариств, у статутних капіталах яких є державна  власність,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22010000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Плата за надання адміністративних послуг</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22012100</w:t>
            </w:r>
          </w:p>
        </w:tc>
        <w:tc>
          <w:tcPr>
            <w:tcW w:w="5387" w:type="dxa"/>
            <w:shd w:val="clear" w:color="auto" w:fill="auto"/>
            <w:noWrap/>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Збір за видачу спеціальних дозволів на користування надрами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проведення авторського нагляду за реалізацією проектних технологічних документів розробки родовищ</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Плата за право користування геологічною інформацією, створеною (придбаною) на кошти державного бюджету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51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Плата за проведення експертизи Центральною комісією </w:t>
            </w:r>
            <w:proofErr w:type="spellStart"/>
            <w:r w:rsidRPr="001C16E0">
              <w:rPr>
                <w:rFonts w:ascii="Times New Roman" w:eastAsia="Times New Roman" w:hAnsi="Times New Roman" w:cs="Times New Roman"/>
                <w:color w:val="000000"/>
                <w:sz w:val="20"/>
                <w:szCs w:val="20"/>
                <w:lang w:val="uk-UA" w:eastAsia="uk-UA"/>
              </w:rPr>
              <w:t>Міненерговугілля</w:t>
            </w:r>
            <w:proofErr w:type="spellEnd"/>
            <w:r w:rsidRPr="001C16E0">
              <w:rPr>
                <w:rFonts w:ascii="Times New Roman" w:eastAsia="Times New Roman" w:hAnsi="Times New Roman" w:cs="Times New Roman"/>
                <w:color w:val="000000"/>
                <w:sz w:val="20"/>
                <w:szCs w:val="20"/>
                <w:lang w:val="uk-UA" w:eastAsia="uk-UA"/>
              </w:rPr>
              <w:t xml:space="preserve"> з питань розробки газових,  газоконденсатних, нафтових родовищ та експлуатації підземних сховищ газу</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76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22011500, 22010200 - 22011400, 22011700 - 22012000, </w:t>
            </w:r>
            <w:r w:rsidRPr="001C16E0">
              <w:rPr>
                <w:rFonts w:ascii="Times New Roman" w:eastAsia="Times New Roman" w:hAnsi="Times New Roman" w:cs="Times New Roman"/>
                <w:color w:val="000000"/>
                <w:sz w:val="20"/>
                <w:szCs w:val="20"/>
                <w:lang w:val="uk-UA" w:eastAsia="uk-UA"/>
              </w:rPr>
              <w:lastRenderedPageBreak/>
              <w:t>22012200 - 22012500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lastRenderedPageBreak/>
              <w:t>Плата за надання адміністративних послуг, що не стосується видобувної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D0D0D"/>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22090000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Державне мито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22090100 - 22090600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20"/>
                <w:szCs w:val="20"/>
                <w:lang w:val="uk-UA" w:eastAsia="uk-UA"/>
              </w:rPr>
            </w:pPr>
            <w:r w:rsidRPr="001C16E0">
              <w:rPr>
                <w:rFonts w:ascii="Times New Roman" w:eastAsia="Times New Roman" w:hAnsi="Times New Roman" w:cs="Times New Roman"/>
                <w:color w:val="0D0D0D"/>
                <w:sz w:val="20"/>
                <w:szCs w:val="20"/>
                <w:lang w:val="uk-UA" w:eastAsia="uk-UA"/>
              </w:rPr>
              <w:t>Державне мито  </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D0D0D"/>
                <w:sz w:val="16"/>
                <w:szCs w:val="16"/>
                <w:lang w:val="uk-UA" w:eastAsia="uk-UA"/>
              </w:rPr>
            </w:pPr>
            <w:r w:rsidRPr="001C16E0">
              <w:rPr>
                <w:rFonts w:ascii="Times New Roman" w:eastAsia="Times New Roman" w:hAnsi="Times New Roman" w:cs="Times New Roman"/>
                <w:color w:val="0D0D0D"/>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969696"/>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Соціальні внески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969696"/>
                <w:sz w:val="16"/>
                <w:szCs w:val="16"/>
                <w:lang w:val="uk-UA" w:eastAsia="uk-UA"/>
              </w:rPr>
            </w:pPr>
            <w:r w:rsidRPr="001C16E0">
              <w:rPr>
                <w:rFonts w:ascii="Times New Roman" w:eastAsia="Times New Roman" w:hAnsi="Times New Roman" w:cs="Times New Roman"/>
                <w:b/>
                <w:b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969696"/>
                <w:sz w:val="16"/>
                <w:szCs w:val="16"/>
                <w:lang w:val="uk-UA" w:eastAsia="uk-UA"/>
              </w:rPr>
            </w:pPr>
            <w:r w:rsidRPr="001C16E0">
              <w:rPr>
                <w:rFonts w:ascii="Times New Roman" w:eastAsia="Times New Roman" w:hAnsi="Times New Roman" w:cs="Times New Roman"/>
                <w:b/>
                <w:b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Єдиний соціальний внесок, нарахований роботодавцем на заробітну плату співробітників,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Єдиний соціальний внесок, нарахований роботодавцем на заробітну плату співробітників, інші види діяльності</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50000000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Цільові фонди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50070000</w:t>
            </w: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Внески до фонду соціального захисту інвалідів</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000000"/>
                <w:sz w:val="16"/>
                <w:szCs w:val="16"/>
                <w:lang w:val="uk-UA" w:eastAsia="uk-UA"/>
              </w:rPr>
            </w:pPr>
            <w:r w:rsidRPr="001C16E0">
              <w:rPr>
                <w:rFonts w:ascii="Times New Roman" w:eastAsia="Times New Roman" w:hAnsi="Times New Roman" w:cs="Times New Roman"/>
                <w:i/>
                <w:iCs/>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1276"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i/>
                <w:iCs/>
                <w:color w:val="969696"/>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Штрафи</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16"/>
                <w:szCs w:val="16"/>
                <w:lang w:val="uk-UA" w:eastAsia="uk-UA"/>
              </w:rPr>
            </w:pPr>
            <w:r w:rsidRPr="001C16E0">
              <w:rPr>
                <w:rFonts w:ascii="Times New Roman" w:eastAsia="Times New Roman" w:hAnsi="Times New Roman" w:cs="Times New Roman"/>
                <w:i/>
                <w:iCs/>
                <w:color w:val="969696"/>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Штрафи, пеня, конфіскація, видобувна діяльність</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Штрафи, пеня, конфіскація, інші види діяльності</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i/>
                <w:iCs/>
                <w:color w:val="969696"/>
                <w:sz w:val="20"/>
                <w:szCs w:val="20"/>
                <w:lang w:val="uk-UA" w:eastAsia="uk-UA"/>
              </w:rPr>
            </w:pPr>
            <w:r w:rsidRPr="001C16E0">
              <w:rPr>
                <w:rFonts w:ascii="Times New Roman" w:eastAsia="Times New Roman" w:hAnsi="Times New Roman" w:cs="Times New Roman"/>
                <w:i/>
                <w:iCs/>
                <w:color w:val="969696"/>
                <w:sz w:val="20"/>
                <w:szCs w:val="20"/>
                <w:lang w:val="uk-UA" w:eastAsia="uk-UA"/>
              </w:rPr>
              <w:t>Інші</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c>
          <w:tcPr>
            <w:tcW w:w="1195"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0</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008000"/>
                <w:sz w:val="20"/>
                <w:szCs w:val="20"/>
                <w:lang w:val="uk-UA" w:eastAsia="uk-UA"/>
              </w:rPr>
              <w:t>ДБ</w:t>
            </w:r>
            <w:r w:rsidRPr="001C16E0">
              <w:rPr>
                <w:rFonts w:ascii="Times New Roman" w:eastAsia="Times New Roman" w:hAnsi="Times New Roman" w:cs="Times New Roman"/>
                <w:b/>
                <w:bCs/>
                <w:color w:val="000000"/>
                <w:sz w:val="20"/>
                <w:szCs w:val="20"/>
                <w:lang w:val="uk-UA" w:eastAsia="uk-UA"/>
              </w:rPr>
              <w:t>/</w:t>
            </w:r>
            <w:r w:rsidRPr="001C16E0">
              <w:rPr>
                <w:rFonts w:ascii="Times New Roman" w:eastAsia="Times New Roman" w:hAnsi="Times New Roman" w:cs="Times New Roman"/>
                <w:b/>
                <w:bCs/>
                <w:color w:val="333399"/>
                <w:sz w:val="20"/>
                <w:szCs w:val="20"/>
                <w:lang w:val="uk-UA" w:eastAsia="uk-UA"/>
              </w:rPr>
              <w:t>МБ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Частка прибуткової продукції, яка належить державі відповідно до угоди про розподіл продукції</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 </w:t>
            </w:r>
          </w:p>
        </w:tc>
      </w:tr>
      <w:tr w:rsidR="005D0B9F" w:rsidRPr="001C16E0" w:rsidTr="00B739EA">
        <w:trPr>
          <w:trHeight w:val="102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B739EA">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Спеціальний платіж (бонус) за підписання угоди, спеціальний платіж (бонус) за  відкриття  на ділянці  надр  промислових  запасів вуглеводневої сировини, інші подібні спеціальні платежі (бонуси), що сплачується на користь держави, органів державної влади та місцевого самоврядування, державних  підприємств, установ та організацій у зв'язку з пошуком, розвідкою та видобутком продукції</w:t>
            </w:r>
          </w:p>
        </w:tc>
        <w:tc>
          <w:tcPr>
            <w:tcW w:w="1134"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992"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333399"/>
                <w:sz w:val="16"/>
                <w:szCs w:val="16"/>
                <w:lang w:val="uk-UA" w:eastAsia="uk-UA"/>
              </w:rPr>
            </w:pPr>
            <w:r w:rsidRPr="001C16E0">
              <w:rPr>
                <w:rFonts w:ascii="Times New Roman" w:eastAsia="Times New Roman" w:hAnsi="Times New Roman" w:cs="Times New Roman"/>
                <w:color w:val="333399"/>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 </w:t>
            </w:r>
          </w:p>
        </w:tc>
        <w:tc>
          <w:tcPr>
            <w:tcW w:w="1195" w:type="dxa"/>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i/>
                <w:iCs/>
                <w:color w:val="A6A6A6"/>
                <w:sz w:val="16"/>
                <w:szCs w:val="16"/>
                <w:lang w:val="uk-UA" w:eastAsia="uk-UA"/>
              </w:rPr>
            </w:pPr>
            <w:r w:rsidRPr="001C16E0">
              <w:rPr>
                <w:rFonts w:ascii="Times New Roman" w:eastAsia="Times New Roman" w:hAnsi="Times New Roman" w:cs="Times New Roman"/>
                <w:i/>
                <w:iCs/>
                <w:color w:val="A6A6A6"/>
                <w:sz w:val="16"/>
                <w:szCs w:val="16"/>
                <w:lang w:val="uk-UA" w:eastAsia="uk-UA"/>
              </w:rPr>
              <w:t> </w:t>
            </w:r>
          </w:p>
        </w:tc>
      </w:tr>
      <w:tr w:rsidR="005D0B9F" w:rsidRPr="001C16E0" w:rsidTr="00B739EA">
        <w:trPr>
          <w:trHeight w:val="255"/>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538DD5"/>
                <w:sz w:val="20"/>
                <w:szCs w:val="20"/>
                <w:lang w:val="uk-UA" w:eastAsia="uk-UA"/>
              </w:rPr>
            </w:pPr>
            <w:r w:rsidRPr="001C16E0">
              <w:rPr>
                <w:rFonts w:ascii="Times New Roman" w:eastAsia="Times New Roman" w:hAnsi="Times New Roman" w:cs="Times New Roman"/>
                <w:b/>
                <w:bCs/>
                <w:color w:val="538DD5"/>
                <w:sz w:val="20"/>
                <w:szCs w:val="20"/>
                <w:lang w:val="uk-UA" w:eastAsia="uk-UA"/>
              </w:rPr>
              <w:t>МБ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Інші податки та збори, що сплачуються безпосередньо в місцеві бюджети,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r w:rsidR="005D0B9F" w:rsidRPr="001C16E0" w:rsidTr="00B739EA">
        <w:trPr>
          <w:trHeight w:val="270"/>
        </w:trPr>
        <w:tc>
          <w:tcPr>
            <w:tcW w:w="1149" w:type="dxa"/>
            <w:shd w:val="clear" w:color="auto" w:fill="auto"/>
            <w:noWrap/>
            <w:vAlign w:val="center"/>
            <w:hideMark/>
          </w:tcPr>
          <w:p w:rsidR="005D0B9F" w:rsidRPr="001C16E0" w:rsidRDefault="005D0B9F" w:rsidP="00B739EA">
            <w:pPr>
              <w:spacing w:after="0" w:line="240" w:lineRule="auto"/>
              <w:jc w:val="center"/>
              <w:rPr>
                <w:rFonts w:ascii="Times New Roman" w:eastAsia="Times New Roman" w:hAnsi="Times New Roman" w:cs="Times New Roman"/>
                <w:b/>
                <w:bCs/>
                <w:color w:val="00B050"/>
                <w:sz w:val="20"/>
                <w:szCs w:val="20"/>
                <w:lang w:val="uk-UA" w:eastAsia="uk-UA"/>
              </w:rPr>
            </w:pPr>
            <w:r w:rsidRPr="001C16E0">
              <w:rPr>
                <w:rFonts w:ascii="Times New Roman" w:eastAsia="Times New Roman" w:hAnsi="Times New Roman" w:cs="Times New Roman"/>
                <w:b/>
                <w:bCs/>
                <w:color w:val="00B050"/>
                <w:sz w:val="20"/>
                <w:szCs w:val="20"/>
                <w:lang w:val="uk-UA" w:eastAsia="uk-UA"/>
              </w:rPr>
              <w:t>ДБ</w:t>
            </w:r>
          </w:p>
        </w:tc>
        <w:tc>
          <w:tcPr>
            <w:tcW w:w="1276" w:type="dxa"/>
            <w:shd w:val="clear" w:color="auto" w:fill="auto"/>
            <w:vAlign w:val="center"/>
            <w:hideMark/>
          </w:tcPr>
          <w:p w:rsidR="005D0B9F" w:rsidRPr="001C16E0" w:rsidRDefault="005D0B9F" w:rsidP="00B739EA">
            <w:pPr>
              <w:spacing w:after="0" w:line="240" w:lineRule="auto"/>
              <w:jc w:val="center"/>
              <w:rPr>
                <w:rFonts w:ascii="Times New Roman" w:eastAsia="Times New Roman" w:hAnsi="Times New Roman" w:cs="Times New Roman"/>
                <w:color w:val="000000"/>
                <w:sz w:val="20"/>
                <w:szCs w:val="20"/>
                <w:lang w:val="uk-UA" w:eastAsia="uk-UA"/>
              </w:rPr>
            </w:pPr>
          </w:p>
        </w:tc>
        <w:tc>
          <w:tcPr>
            <w:tcW w:w="5387"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Інші податки та збори, що сплачуються безпосередньо в державний бюджет, видобувна діяльність</w:t>
            </w:r>
          </w:p>
        </w:tc>
        <w:tc>
          <w:tcPr>
            <w:tcW w:w="1134"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992" w:type="dxa"/>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34" w:type="dxa"/>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sz w:val="16"/>
                <w:szCs w:val="16"/>
                <w:lang w:val="uk-UA" w:eastAsia="uk-UA"/>
              </w:rPr>
            </w:pPr>
            <w:r w:rsidRPr="001C16E0">
              <w:rPr>
                <w:rFonts w:ascii="Times New Roman" w:eastAsia="Times New Roman" w:hAnsi="Times New Roman" w:cs="Times New Roman"/>
                <w:sz w:val="16"/>
                <w:szCs w:val="16"/>
                <w:lang w:val="uk-UA" w:eastAsia="uk-UA"/>
              </w:rPr>
              <w:t>0</w:t>
            </w:r>
          </w:p>
        </w:tc>
        <w:tc>
          <w:tcPr>
            <w:tcW w:w="1191"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c>
          <w:tcPr>
            <w:tcW w:w="1195" w:type="dxa"/>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6"/>
                <w:szCs w:val="16"/>
                <w:lang w:val="uk-UA" w:eastAsia="uk-UA"/>
              </w:rPr>
            </w:pPr>
            <w:r w:rsidRPr="001C16E0">
              <w:rPr>
                <w:rFonts w:ascii="Times New Roman" w:eastAsia="Times New Roman" w:hAnsi="Times New Roman" w:cs="Times New Roman"/>
                <w:color w:val="000000"/>
                <w:sz w:val="16"/>
                <w:szCs w:val="16"/>
                <w:lang w:val="uk-UA" w:eastAsia="uk-UA"/>
              </w:rPr>
              <w:t> </w:t>
            </w:r>
          </w:p>
        </w:tc>
      </w:tr>
    </w:tbl>
    <w:p w:rsidR="005D0B9F" w:rsidRPr="001C16E0" w:rsidRDefault="005D0B9F" w:rsidP="0052043C">
      <w:pPr>
        <w:spacing w:after="0" w:line="240" w:lineRule="auto"/>
        <w:ind w:firstLine="720"/>
        <w:jc w:val="both"/>
        <w:rPr>
          <w:rFonts w:ascii="Times New Roman" w:hAnsi="Times New Roman" w:cs="Times New Roman"/>
          <w:sz w:val="24"/>
          <w:lang w:val="uk-UA"/>
        </w:rPr>
      </w:pPr>
    </w:p>
    <w:p w:rsidR="00B739EA" w:rsidRPr="001C16E0" w:rsidRDefault="00B739EA" w:rsidP="0052043C">
      <w:pPr>
        <w:spacing w:after="0" w:line="240" w:lineRule="auto"/>
        <w:ind w:firstLine="720"/>
        <w:jc w:val="both"/>
        <w:rPr>
          <w:rFonts w:ascii="Times New Roman" w:hAnsi="Times New Roman" w:cs="Times New Roman"/>
          <w:sz w:val="24"/>
          <w:lang w:val="uk-UA"/>
        </w:rPr>
      </w:pPr>
    </w:p>
    <w:p w:rsidR="00B739EA" w:rsidRPr="001C16E0" w:rsidRDefault="00B739EA" w:rsidP="0052043C">
      <w:pPr>
        <w:spacing w:after="0" w:line="240" w:lineRule="auto"/>
        <w:ind w:firstLine="720"/>
        <w:jc w:val="both"/>
        <w:rPr>
          <w:rFonts w:ascii="Times New Roman" w:hAnsi="Times New Roman" w:cs="Times New Roman"/>
          <w:sz w:val="24"/>
          <w:lang w:val="uk-UA"/>
        </w:rPr>
      </w:pPr>
    </w:p>
    <w:p w:rsidR="00B739EA" w:rsidRPr="001C16E0" w:rsidRDefault="00B739EA" w:rsidP="0052043C">
      <w:pPr>
        <w:spacing w:after="0" w:line="240" w:lineRule="auto"/>
        <w:ind w:firstLine="720"/>
        <w:jc w:val="both"/>
        <w:rPr>
          <w:rFonts w:ascii="Times New Roman" w:hAnsi="Times New Roman" w:cs="Times New Roman"/>
          <w:sz w:val="24"/>
          <w:lang w:val="uk-UA"/>
        </w:rPr>
      </w:pPr>
    </w:p>
    <w:tbl>
      <w:tblPr>
        <w:tblW w:w="13482" w:type="dxa"/>
        <w:tblInd w:w="93" w:type="dxa"/>
        <w:tblLook w:val="04A0" w:firstRow="1" w:lastRow="0" w:firstColumn="1" w:lastColumn="0" w:noHBand="0" w:noVBand="1"/>
      </w:tblPr>
      <w:tblGrid>
        <w:gridCol w:w="1291"/>
        <w:gridCol w:w="1134"/>
        <w:gridCol w:w="5387"/>
        <w:gridCol w:w="1134"/>
        <w:gridCol w:w="992"/>
        <w:gridCol w:w="1134"/>
        <w:gridCol w:w="1134"/>
        <w:gridCol w:w="1276"/>
      </w:tblGrid>
      <w:tr w:rsidR="005D0B9F" w:rsidRPr="001C16E0" w:rsidTr="00B739EA">
        <w:trPr>
          <w:trHeight w:val="24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5387" w:type="dxa"/>
            <w:tcBorders>
              <w:top w:val="single" w:sz="8" w:space="0" w:color="auto"/>
              <w:left w:val="single" w:sz="8" w:space="0" w:color="auto"/>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color w:val="000000"/>
                <w:sz w:val="18"/>
                <w:szCs w:val="18"/>
                <w:lang w:val="uk-UA" w:eastAsia="uk-UA"/>
              </w:rPr>
            </w:pPr>
            <w:r w:rsidRPr="001C16E0">
              <w:rPr>
                <w:rFonts w:ascii="Times New Roman" w:eastAsia="Times New Roman" w:hAnsi="Times New Roman" w:cs="Times New Roman"/>
                <w:b/>
                <w:bCs/>
                <w:color w:val="000000"/>
                <w:sz w:val="18"/>
                <w:szCs w:val="18"/>
                <w:lang w:val="uk-UA" w:eastAsia="uk-UA"/>
              </w:rPr>
              <w:t>Всього сплачено</w:t>
            </w:r>
          </w:p>
        </w:tc>
        <w:tc>
          <w:tcPr>
            <w:tcW w:w="1134" w:type="dxa"/>
            <w:tcBorders>
              <w:top w:val="single" w:sz="8" w:space="0" w:color="auto"/>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p>
        </w:tc>
        <w:tc>
          <w:tcPr>
            <w:tcW w:w="992" w:type="dxa"/>
            <w:tcBorders>
              <w:top w:val="single" w:sz="8" w:space="0" w:color="auto"/>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p>
        </w:tc>
        <w:tc>
          <w:tcPr>
            <w:tcW w:w="1134" w:type="dxa"/>
            <w:tcBorders>
              <w:top w:val="single" w:sz="8" w:space="0" w:color="auto"/>
              <w:left w:val="nil"/>
              <w:bottom w:val="nil"/>
              <w:right w:val="nil"/>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p>
        </w:tc>
        <w:tc>
          <w:tcPr>
            <w:tcW w:w="1134" w:type="dxa"/>
            <w:tcBorders>
              <w:top w:val="single" w:sz="8" w:space="0" w:color="auto"/>
              <w:left w:val="nil"/>
              <w:bottom w:val="nil"/>
              <w:right w:val="nil"/>
            </w:tcBorders>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b/>
                <w:bCs/>
                <w:i/>
                <w:iCs/>
                <w:color w:val="000000"/>
                <w:sz w:val="18"/>
                <w:szCs w:val="18"/>
                <w:lang w:val="uk-UA" w:eastAsia="uk-UA"/>
              </w:rPr>
            </w:pPr>
            <w:r w:rsidRPr="001C16E0">
              <w:rPr>
                <w:rFonts w:ascii="Times New Roman" w:eastAsia="Times New Roman" w:hAnsi="Times New Roman" w:cs="Times New Roman"/>
                <w:b/>
                <w:bCs/>
                <w:i/>
                <w:iCs/>
                <w:color w:val="000000"/>
                <w:sz w:val="18"/>
                <w:szCs w:val="18"/>
                <w:lang w:val="uk-UA" w:eastAsia="uk-UA"/>
              </w:rPr>
              <w:t>0</w:t>
            </w:r>
          </w:p>
        </w:tc>
        <w:tc>
          <w:tcPr>
            <w:tcW w:w="1276" w:type="dxa"/>
            <w:tcBorders>
              <w:top w:val="single" w:sz="8" w:space="0" w:color="auto"/>
              <w:left w:val="nil"/>
              <w:bottom w:val="nil"/>
              <w:right w:val="single" w:sz="8" w:space="0" w:color="auto"/>
            </w:tcBorders>
            <w:shd w:val="clear" w:color="auto" w:fill="auto"/>
            <w:noWrap/>
            <w:vAlign w:val="bottom"/>
            <w:hideMark/>
          </w:tcPr>
          <w:p w:rsidR="005D0B9F" w:rsidRPr="001C16E0" w:rsidRDefault="005D0B9F" w:rsidP="005D0B9F">
            <w:pPr>
              <w:spacing w:after="0" w:line="240" w:lineRule="auto"/>
              <w:jc w:val="right"/>
              <w:rPr>
                <w:rFonts w:ascii="Times New Roman" w:eastAsia="Times New Roman" w:hAnsi="Times New Roman" w:cs="Times New Roman"/>
                <w:b/>
                <w:bCs/>
                <w:i/>
                <w:iCs/>
                <w:color w:val="000000"/>
                <w:sz w:val="18"/>
                <w:szCs w:val="18"/>
                <w:lang w:val="uk-UA" w:eastAsia="uk-UA"/>
              </w:rPr>
            </w:pPr>
            <w:r w:rsidRPr="001C16E0">
              <w:rPr>
                <w:rFonts w:ascii="Times New Roman" w:eastAsia="Times New Roman" w:hAnsi="Times New Roman" w:cs="Times New Roman"/>
                <w:b/>
                <w:bCs/>
                <w:i/>
                <w:iCs/>
                <w:color w:val="000000"/>
                <w:sz w:val="18"/>
                <w:szCs w:val="18"/>
                <w:lang w:val="uk-UA" w:eastAsia="uk-UA"/>
              </w:rPr>
              <w:t> </w:t>
            </w:r>
          </w:p>
        </w:tc>
      </w:tr>
      <w:tr w:rsidR="005D0B9F" w:rsidRPr="001C16E0" w:rsidTr="00B739EA">
        <w:trPr>
          <w:trHeight w:val="276"/>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5387" w:type="dxa"/>
            <w:tcBorders>
              <w:top w:val="nil"/>
              <w:left w:val="single" w:sz="8" w:space="0" w:color="auto"/>
              <w:bottom w:val="nil"/>
              <w:right w:val="nil"/>
            </w:tcBorders>
            <w:shd w:val="clear" w:color="auto" w:fill="auto"/>
            <w:noWrap/>
            <w:hideMark/>
          </w:tcPr>
          <w:p w:rsidR="005D0B9F" w:rsidRPr="001C16E0" w:rsidRDefault="005D0B9F" w:rsidP="00B739EA">
            <w:pPr>
              <w:spacing w:after="0" w:line="240" w:lineRule="auto"/>
              <w:ind w:left="720"/>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r w:rsidR="00B739EA" w:rsidRPr="001C16E0">
              <w:rPr>
                <w:rFonts w:ascii="Times New Roman" w:eastAsia="Times New Roman" w:hAnsi="Times New Roman" w:cs="Times New Roman"/>
                <w:b/>
                <w:bCs/>
                <w:i/>
                <w:iCs/>
                <w:color w:val="00B050"/>
                <w:sz w:val="18"/>
                <w:szCs w:val="18"/>
                <w:lang w:val="uk-UA" w:eastAsia="uk-UA"/>
              </w:rPr>
              <w:t>з них в державний бюджет</w:t>
            </w: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00B050"/>
                <w:sz w:val="18"/>
                <w:szCs w:val="18"/>
                <w:lang w:val="uk-UA" w:eastAsia="uk-UA"/>
              </w:rPr>
            </w:pPr>
          </w:p>
        </w:tc>
        <w:tc>
          <w:tcPr>
            <w:tcW w:w="992"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000000"/>
                <w:sz w:val="18"/>
                <w:szCs w:val="18"/>
                <w:lang w:val="uk-UA" w:eastAsia="uk-UA"/>
              </w:rPr>
            </w:pPr>
          </w:p>
        </w:tc>
        <w:tc>
          <w:tcPr>
            <w:tcW w:w="1134" w:type="dxa"/>
            <w:tcBorders>
              <w:top w:val="nil"/>
              <w:left w:val="nil"/>
              <w:bottom w:val="nil"/>
              <w:right w:val="nil"/>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00B050"/>
                <w:sz w:val="18"/>
                <w:szCs w:val="18"/>
                <w:lang w:val="uk-UA" w:eastAsia="uk-UA"/>
              </w:rPr>
            </w:pPr>
            <w:r w:rsidRPr="001C16E0">
              <w:rPr>
                <w:rFonts w:ascii="Times New Roman" w:eastAsia="Times New Roman" w:hAnsi="Times New Roman" w:cs="Times New Roman"/>
                <w:b/>
                <w:bCs/>
                <w:i/>
                <w:iCs/>
                <w:color w:val="00B050"/>
                <w:sz w:val="18"/>
                <w:szCs w:val="18"/>
                <w:lang w:val="uk-UA" w:eastAsia="uk-UA"/>
              </w:rPr>
              <w:t>0</w:t>
            </w:r>
          </w:p>
        </w:tc>
        <w:tc>
          <w:tcPr>
            <w:tcW w:w="1276" w:type="dxa"/>
            <w:tcBorders>
              <w:top w:val="nil"/>
              <w:left w:val="nil"/>
              <w:bottom w:val="nil"/>
              <w:right w:val="single" w:sz="8" w:space="0" w:color="auto"/>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00B050"/>
                <w:sz w:val="18"/>
                <w:szCs w:val="18"/>
                <w:lang w:val="uk-UA" w:eastAsia="uk-UA"/>
              </w:rPr>
            </w:pPr>
            <w:r w:rsidRPr="001C16E0">
              <w:rPr>
                <w:rFonts w:ascii="Times New Roman" w:eastAsia="Times New Roman" w:hAnsi="Times New Roman" w:cs="Times New Roman"/>
                <w:b/>
                <w:bCs/>
                <w:i/>
                <w:iCs/>
                <w:color w:val="00B050"/>
                <w:sz w:val="18"/>
                <w:szCs w:val="18"/>
                <w:lang w:val="uk-UA" w:eastAsia="uk-UA"/>
              </w:rPr>
              <w:t> </w:t>
            </w:r>
          </w:p>
        </w:tc>
      </w:tr>
      <w:tr w:rsidR="005D0B9F" w:rsidRPr="001C16E0" w:rsidTr="00B739EA">
        <w:trPr>
          <w:trHeight w:val="28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5387" w:type="dxa"/>
            <w:tcBorders>
              <w:top w:val="nil"/>
              <w:left w:val="single" w:sz="8" w:space="0" w:color="auto"/>
              <w:bottom w:val="single" w:sz="8" w:space="0" w:color="auto"/>
              <w:right w:val="nil"/>
            </w:tcBorders>
            <w:shd w:val="clear" w:color="auto" w:fill="auto"/>
            <w:noWrap/>
            <w:hideMark/>
          </w:tcPr>
          <w:p w:rsidR="005D0B9F" w:rsidRPr="001C16E0" w:rsidRDefault="005D0B9F" w:rsidP="00B739EA">
            <w:pPr>
              <w:spacing w:after="0" w:line="240" w:lineRule="auto"/>
              <w:ind w:left="720"/>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r w:rsidR="00B739EA" w:rsidRPr="001C16E0">
              <w:rPr>
                <w:rFonts w:ascii="Times New Roman" w:eastAsia="Times New Roman" w:hAnsi="Times New Roman" w:cs="Times New Roman"/>
                <w:b/>
                <w:bCs/>
                <w:i/>
                <w:iCs/>
                <w:color w:val="538DD5"/>
                <w:sz w:val="18"/>
                <w:szCs w:val="18"/>
                <w:lang w:val="uk-UA" w:eastAsia="uk-UA"/>
              </w:rPr>
              <w:t>з них в місцевий бюджет</w:t>
            </w:r>
          </w:p>
        </w:tc>
        <w:tc>
          <w:tcPr>
            <w:tcW w:w="1134" w:type="dxa"/>
            <w:tcBorders>
              <w:top w:val="nil"/>
              <w:left w:val="nil"/>
              <w:bottom w:val="single" w:sz="8" w:space="0" w:color="auto"/>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538DD5"/>
                <w:sz w:val="18"/>
                <w:szCs w:val="18"/>
                <w:lang w:val="uk-UA" w:eastAsia="uk-UA"/>
              </w:rPr>
            </w:pPr>
          </w:p>
        </w:tc>
        <w:tc>
          <w:tcPr>
            <w:tcW w:w="992" w:type="dxa"/>
            <w:tcBorders>
              <w:top w:val="nil"/>
              <w:left w:val="nil"/>
              <w:bottom w:val="single" w:sz="8" w:space="0" w:color="auto"/>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000000"/>
                <w:sz w:val="18"/>
                <w:szCs w:val="18"/>
                <w:lang w:val="uk-UA" w:eastAsia="uk-UA"/>
              </w:rPr>
            </w:pPr>
            <w:r w:rsidRPr="001C16E0">
              <w:rPr>
                <w:rFonts w:ascii="Times New Roman" w:eastAsia="Times New Roman" w:hAnsi="Times New Roman" w:cs="Times New Roman"/>
                <w:b/>
                <w:bCs/>
                <w:i/>
                <w:iCs/>
                <w:color w:val="000000"/>
                <w:sz w:val="18"/>
                <w:szCs w:val="18"/>
                <w:lang w:val="uk-UA" w:eastAsia="uk-UA"/>
              </w:rPr>
              <w:t> </w:t>
            </w:r>
          </w:p>
        </w:tc>
        <w:tc>
          <w:tcPr>
            <w:tcW w:w="1134" w:type="dxa"/>
            <w:tcBorders>
              <w:top w:val="nil"/>
              <w:left w:val="nil"/>
              <w:bottom w:val="single" w:sz="8" w:space="0" w:color="auto"/>
              <w:right w:val="nil"/>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r w:rsidRPr="001C16E0">
              <w:rPr>
                <w:rFonts w:ascii="Times New Roman" w:eastAsia="Times New Roman" w:hAnsi="Times New Roman" w:cs="Times New Roman"/>
                <w:color w:val="000000"/>
                <w:sz w:val="18"/>
                <w:szCs w:val="18"/>
                <w:lang w:val="uk-UA" w:eastAsia="uk-UA"/>
              </w:rPr>
              <w:t> </w:t>
            </w:r>
          </w:p>
        </w:tc>
        <w:tc>
          <w:tcPr>
            <w:tcW w:w="1134" w:type="dxa"/>
            <w:tcBorders>
              <w:top w:val="nil"/>
              <w:left w:val="nil"/>
              <w:bottom w:val="single" w:sz="8" w:space="0" w:color="auto"/>
              <w:right w:val="nil"/>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538DD5"/>
                <w:sz w:val="18"/>
                <w:szCs w:val="18"/>
                <w:lang w:val="uk-UA" w:eastAsia="uk-UA"/>
              </w:rPr>
            </w:pPr>
            <w:r w:rsidRPr="001C16E0">
              <w:rPr>
                <w:rFonts w:ascii="Times New Roman" w:eastAsia="Times New Roman" w:hAnsi="Times New Roman" w:cs="Times New Roman"/>
                <w:b/>
                <w:bCs/>
                <w:i/>
                <w:iCs/>
                <w:color w:val="538DD5"/>
                <w:sz w:val="18"/>
                <w:szCs w:val="18"/>
                <w:lang w:val="uk-UA" w:eastAsia="uk-UA"/>
              </w:rPr>
              <w:t>0</w:t>
            </w:r>
          </w:p>
        </w:tc>
        <w:tc>
          <w:tcPr>
            <w:tcW w:w="1276" w:type="dxa"/>
            <w:tcBorders>
              <w:top w:val="nil"/>
              <w:left w:val="nil"/>
              <w:bottom w:val="single" w:sz="8" w:space="0" w:color="auto"/>
              <w:right w:val="single" w:sz="8" w:space="0" w:color="auto"/>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538DD5"/>
                <w:sz w:val="18"/>
                <w:szCs w:val="18"/>
                <w:lang w:val="uk-UA" w:eastAsia="uk-UA"/>
              </w:rPr>
            </w:pPr>
            <w:r w:rsidRPr="001C16E0">
              <w:rPr>
                <w:rFonts w:ascii="Times New Roman" w:eastAsia="Times New Roman" w:hAnsi="Times New Roman" w:cs="Times New Roman"/>
                <w:b/>
                <w:bCs/>
                <w:i/>
                <w:iCs/>
                <w:color w:val="538DD5"/>
                <w:sz w:val="18"/>
                <w:szCs w:val="18"/>
                <w:lang w:val="uk-UA" w:eastAsia="uk-UA"/>
              </w:rPr>
              <w:t> </w:t>
            </w:r>
          </w:p>
        </w:tc>
      </w:tr>
      <w:tr w:rsidR="005D0B9F" w:rsidRPr="001C16E0" w:rsidTr="00B739EA">
        <w:trPr>
          <w:trHeight w:val="24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5387"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538DD5"/>
                <w:sz w:val="18"/>
                <w:szCs w:val="18"/>
                <w:lang w:val="uk-UA" w:eastAsia="uk-UA"/>
              </w:rPr>
            </w:pPr>
          </w:p>
        </w:tc>
        <w:tc>
          <w:tcPr>
            <w:tcW w:w="992" w:type="dxa"/>
            <w:tcBorders>
              <w:top w:val="nil"/>
              <w:left w:val="nil"/>
              <w:bottom w:val="nil"/>
              <w:right w:val="nil"/>
            </w:tcBorders>
            <w:shd w:val="clear" w:color="auto" w:fill="auto"/>
            <w:hideMark/>
          </w:tcPr>
          <w:p w:rsidR="005D0B9F" w:rsidRPr="001C16E0" w:rsidRDefault="005D0B9F" w:rsidP="005D0B9F">
            <w:pPr>
              <w:spacing w:after="0" w:line="240" w:lineRule="auto"/>
              <w:rPr>
                <w:rFonts w:ascii="Times New Roman" w:eastAsia="Times New Roman" w:hAnsi="Times New Roman" w:cs="Times New Roman"/>
                <w:b/>
                <w:bCs/>
                <w:i/>
                <w:iCs/>
                <w:color w:val="000000"/>
                <w:sz w:val="18"/>
                <w:szCs w:val="18"/>
                <w:lang w:val="uk-UA" w:eastAsia="uk-UA"/>
              </w:rPr>
            </w:pPr>
          </w:p>
        </w:tc>
        <w:tc>
          <w:tcPr>
            <w:tcW w:w="1134" w:type="dxa"/>
            <w:tcBorders>
              <w:top w:val="nil"/>
              <w:left w:val="nil"/>
              <w:bottom w:val="nil"/>
              <w:right w:val="nil"/>
            </w:tcBorders>
            <w:shd w:val="clear" w:color="auto" w:fill="auto"/>
            <w:vAlign w:val="center"/>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538DD5"/>
                <w:sz w:val="18"/>
                <w:szCs w:val="18"/>
                <w:lang w:val="uk-UA" w:eastAsia="uk-UA"/>
              </w:rPr>
            </w:pPr>
          </w:p>
        </w:tc>
        <w:tc>
          <w:tcPr>
            <w:tcW w:w="1276" w:type="dxa"/>
            <w:tcBorders>
              <w:top w:val="nil"/>
              <w:left w:val="nil"/>
              <w:bottom w:val="nil"/>
              <w:right w:val="nil"/>
            </w:tcBorders>
            <w:shd w:val="clear" w:color="auto" w:fill="auto"/>
            <w:vAlign w:val="center"/>
            <w:hideMark/>
          </w:tcPr>
          <w:p w:rsidR="005D0B9F" w:rsidRPr="001C16E0" w:rsidRDefault="005D0B9F" w:rsidP="005D0B9F">
            <w:pPr>
              <w:spacing w:after="0" w:line="240" w:lineRule="auto"/>
              <w:jc w:val="right"/>
              <w:rPr>
                <w:rFonts w:ascii="Times New Roman" w:eastAsia="Times New Roman" w:hAnsi="Times New Roman" w:cs="Times New Roman"/>
                <w:b/>
                <w:bCs/>
                <w:i/>
                <w:iCs/>
                <w:color w:val="538DD5"/>
                <w:sz w:val="18"/>
                <w:szCs w:val="18"/>
                <w:lang w:val="uk-UA" w:eastAsia="uk-UA"/>
              </w:rPr>
            </w:pPr>
          </w:p>
        </w:tc>
      </w:tr>
      <w:tr w:rsidR="005D0B9F" w:rsidRPr="001709BA" w:rsidTr="00B739EA">
        <w:trPr>
          <w:trHeight w:val="24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b/>
                <w:bCs/>
                <w:color w:val="538DD5"/>
                <w:sz w:val="18"/>
                <w:szCs w:val="18"/>
                <w:lang w:val="uk-UA" w:eastAsia="uk-UA"/>
              </w:rPr>
            </w:pPr>
            <w:r w:rsidRPr="001C16E0">
              <w:rPr>
                <w:rFonts w:ascii="Times New Roman" w:eastAsia="Times New Roman" w:hAnsi="Times New Roman" w:cs="Times New Roman"/>
                <w:b/>
                <w:bCs/>
                <w:color w:val="538DD5"/>
                <w:sz w:val="18"/>
                <w:szCs w:val="18"/>
                <w:lang w:val="uk-UA" w:eastAsia="uk-UA"/>
              </w:rPr>
              <w:t>МБ</w:t>
            </w:r>
          </w:p>
        </w:tc>
        <w:tc>
          <w:tcPr>
            <w:tcW w:w="5387"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b/>
                <w:bCs/>
                <w:color w:val="538DD5"/>
                <w:sz w:val="18"/>
                <w:szCs w:val="18"/>
                <w:lang w:val="uk-UA" w:eastAsia="uk-UA"/>
              </w:rPr>
            </w:pPr>
            <w:r w:rsidRPr="001C16E0">
              <w:rPr>
                <w:rFonts w:ascii="Times New Roman" w:eastAsia="Times New Roman" w:hAnsi="Times New Roman" w:cs="Times New Roman"/>
                <w:b/>
                <w:bCs/>
                <w:color w:val="538DD5"/>
                <w:sz w:val="18"/>
                <w:szCs w:val="18"/>
                <w:lang w:val="uk-UA" w:eastAsia="uk-UA"/>
              </w:rPr>
              <w:t>платежі/надходження в місцевий бюджет</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r>
      <w:tr w:rsidR="005D0B9F" w:rsidRPr="001709BA" w:rsidTr="00B739EA">
        <w:trPr>
          <w:trHeight w:val="24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b/>
                <w:bCs/>
                <w:color w:val="00B050"/>
                <w:sz w:val="18"/>
                <w:szCs w:val="18"/>
                <w:lang w:val="uk-UA" w:eastAsia="uk-UA"/>
              </w:rPr>
            </w:pPr>
            <w:r w:rsidRPr="001C16E0">
              <w:rPr>
                <w:rFonts w:ascii="Times New Roman" w:eastAsia="Times New Roman" w:hAnsi="Times New Roman" w:cs="Times New Roman"/>
                <w:b/>
                <w:bCs/>
                <w:color w:val="00B050"/>
                <w:sz w:val="18"/>
                <w:szCs w:val="18"/>
                <w:lang w:val="uk-UA" w:eastAsia="uk-UA"/>
              </w:rPr>
              <w:t>ДБ</w:t>
            </w:r>
          </w:p>
        </w:tc>
        <w:tc>
          <w:tcPr>
            <w:tcW w:w="5387"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Times New Roman" w:eastAsia="Times New Roman" w:hAnsi="Times New Roman" w:cs="Times New Roman"/>
                <w:b/>
                <w:bCs/>
                <w:color w:val="00B050"/>
                <w:sz w:val="18"/>
                <w:szCs w:val="18"/>
                <w:lang w:val="uk-UA" w:eastAsia="uk-UA"/>
              </w:rPr>
            </w:pPr>
            <w:r w:rsidRPr="001C16E0">
              <w:rPr>
                <w:rFonts w:ascii="Times New Roman" w:eastAsia="Times New Roman" w:hAnsi="Times New Roman" w:cs="Times New Roman"/>
                <w:b/>
                <w:bCs/>
                <w:color w:val="00B050"/>
                <w:sz w:val="18"/>
                <w:szCs w:val="18"/>
                <w:lang w:val="uk-UA" w:eastAsia="uk-UA"/>
              </w:rPr>
              <w:t>платежі/надходження в державний бюджет</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18"/>
                <w:szCs w:val="18"/>
                <w:lang w:val="uk-UA" w:eastAsia="uk-UA"/>
              </w:rPr>
            </w:pPr>
          </w:p>
        </w:tc>
      </w:tr>
      <w:tr w:rsidR="005D0B9F" w:rsidRPr="001709BA" w:rsidTr="00B739EA">
        <w:trPr>
          <w:trHeight w:val="31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3260" w:type="dxa"/>
            <w:gridSpan w:val="3"/>
            <w:tcBorders>
              <w:top w:val="nil"/>
              <w:left w:val="nil"/>
              <w:bottom w:val="single" w:sz="4" w:space="0" w:color="auto"/>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r w:rsidRPr="001C16E0">
              <w:rPr>
                <w:rFonts w:ascii="Arial" w:eastAsia="Times New Roman" w:hAnsi="Arial" w:cs="Arial"/>
                <w:color w:val="000000"/>
                <w:sz w:val="16"/>
                <w:szCs w:val="16"/>
                <w:lang w:val="uk-UA" w:eastAsia="uk-UA"/>
              </w:rPr>
              <w:t> </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55"/>
        </w:trPr>
        <w:tc>
          <w:tcPr>
            <w:tcW w:w="2425" w:type="dxa"/>
            <w:gridSpan w:val="2"/>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Місце підпису керівника (власника) та/або особи,</w:t>
            </w: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3260" w:type="dxa"/>
            <w:gridSpan w:val="3"/>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(П.І.Б.)</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B739EA">
        <w:trPr>
          <w:trHeight w:val="255"/>
        </w:trPr>
        <w:tc>
          <w:tcPr>
            <w:tcW w:w="7812" w:type="dxa"/>
            <w:gridSpan w:val="3"/>
            <w:tcBorders>
              <w:top w:val="nil"/>
              <w:left w:val="nil"/>
              <w:bottom w:val="nil"/>
              <w:right w:val="nil"/>
            </w:tcBorders>
            <w:shd w:val="clear" w:color="auto" w:fill="auto"/>
            <w:noWrap/>
            <w:vAlign w:val="bottom"/>
            <w:hideMark/>
          </w:tcPr>
          <w:p w:rsidR="00B739EA"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відповідальної за </w:t>
            </w:r>
          </w:p>
          <w:p w:rsidR="00B739EA"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 xml:space="preserve">достовірність наданої </w:t>
            </w:r>
          </w:p>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інформації</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B739EA">
        <w:trPr>
          <w:trHeight w:val="22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709BA" w:rsidTr="00B739EA">
        <w:trPr>
          <w:trHeight w:val="22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315"/>
        </w:trPr>
        <w:tc>
          <w:tcPr>
            <w:tcW w:w="2425" w:type="dxa"/>
            <w:gridSpan w:val="2"/>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r w:rsidRPr="001C16E0">
              <w:rPr>
                <w:rFonts w:ascii="Arial" w:eastAsia="Times New Roman" w:hAnsi="Arial" w:cs="Arial"/>
                <w:color w:val="000000"/>
                <w:sz w:val="16"/>
                <w:szCs w:val="16"/>
                <w:lang w:val="uk-UA" w:eastAsia="uk-UA"/>
              </w:rPr>
              <w:t> </w:t>
            </w: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3260" w:type="dxa"/>
            <w:gridSpan w:val="3"/>
            <w:tcBorders>
              <w:top w:val="single" w:sz="4" w:space="0" w:color="auto"/>
              <w:left w:val="nil"/>
              <w:bottom w:val="nil"/>
              <w:right w:val="nil"/>
            </w:tcBorders>
            <w:shd w:val="clear" w:color="auto" w:fill="auto"/>
            <w:noWrap/>
            <w:vAlign w:val="bottom"/>
            <w:hideMark/>
          </w:tcPr>
          <w:p w:rsidR="005D0B9F" w:rsidRPr="001C16E0" w:rsidRDefault="005D0B9F" w:rsidP="005D0B9F">
            <w:pPr>
              <w:spacing w:after="0" w:line="240" w:lineRule="auto"/>
              <w:jc w:val="center"/>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(П.І.Б.)</w:t>
            </w: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360"/>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телефон:</w:t>
            </w:r>
          </w:p>
        </w:tc>
        <w:tc>
          <w:tcPr>
            <w:tcW w:w="1134" w:type="dxa"/>
            <w:tcBorders>
              <w:top w:val="nil"/>
              <w:left w:val="nil"/>
              <w:bottom w:val="single" w:sz="4" w:space="0" w:color="auto"/>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r w:rsidRPr="001C16E0">
              <w:rPr>
                <w:rFonts w:ascii="Arial" w:eastAsia="Times New Roman" w:hAnsi="Arial" w:cs="Arial"/>
                <w:color w:val="000000"/>
                <w:sz w:val="16"/>
                <w:szCs w:val="16"/>
                <w:lang w:val="uk-UA" w:eastAsia="uk-UA"/>
              </w:rPr>
              <w:t> </w:t>
            </w: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5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5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факс:</w:t>
            </w:r>
          </w:p>
        </w:tc>
        <w:tc>
          <w:tcPr>
            <w:tcW w:w="1134" w:type="dxa"/>
            <w:tcBorders>
              <w:top w:val="nil"/>
              <w:left w:val="nil"/>
              <w:bottom w:val="single" w:sz="4" w:space="0" w:color="auto"/>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r w:rsidRPr="001C16E0">
              <w:rPr>
                <w:rFonts w:ascii="Arial" w:eastAsia="Times New Roman" w:hAnsi="Arial" w:cs="Arial"/>
                <w:color w:val="000000"/>
                <w:sz w:val="16"/>
                <w:szCs w:val="16"/>
                <w:lang w:val="uk-UA" w:eastAsia="uk-UA"/>
              </w:rPr>
              <w:t> </w:t>
            </w: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5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5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Times New Roman" w:eastAsia="Times New Roman" w:hAnsi="Times New Roman" w:cs="Times New Roman"/>
                <w:color w:val="000000"/>
                <w:sz w:val="20"/>
                <w:szCs w:val="20"/>
                <w:lang w:val="uk-UA" w:eastAsia="uk-UA"/>
              </w:rPr>
            </w:pPr>
            <w:r w:rsidRPr="001C16E0">
              <w:rPr>
                <w:rFonts w:ascii="Times New Roman" w:eastAsia="Times New Roman" w:hAnsi="Times New Roman" w:cs="Times New Roman"/>
                <w:color w:val="000000"/>
                <w:sz w:val="20"/>
                <w:szCs w:val="20"/>
                <w:lang w:val="uk-UA" w:eastAsia="uk-UA"/>
              </w:rPr>
              <w:t>електронна пошта:</w:t>
            </w:r>
          </w:p>
        </w:tc>
        <w:tc>
          <w:tcPr>
            <w:tcW w:w="1134" w:type="dxa"/>
            <w:tcBorders>
              <w:top w:val="nil"/>
              <w:left w:val="nil"/>
              <w:bottom w:val="single" w:sz="4" w:space="0" w:color="auto"/>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r w:rsidRPr="001C16E0">
              <w:rPr>
                <w:rFonts w:ascii="Arial" w:eastAsia="Times New Roman" w:hAnsi="Arial" w:cs="Arial"/>
                <w:color w:val="000000"/>
                <w:sz w:val="16"/>
                <w:szCs w:val="16"/>
                <w:lang w:val="uk-UA" w:eastAsia="uk-UA"/>
              </w:rPr>
              <w:t> </w:t>
            </w: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r w:rsidR="005D0B9F" w:rsidRPr="001C16E0" w:rsidTr="00B739EA">
        <w:trPr>
          <w:trHeight w:val="225"/>
        </w:trPr>
        <w:tc>
          <w:tcPr>
            <w:tcW w:w="1291"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5387"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992"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134"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c>
          <w:tcPr>
            <w:tcW w:w="1276" w:type="dxa"/>
            <w:tcBorders>
              <w:top w:val="nil"/>
              <w:left w:val="nil"/>
              <w:bottom w:val="nil"/>
              <w:right w:val="nil"/>
            </w:tcBorders>
            <w:shd w:val="clear" w:color="auto" w:fill="auto"/>
            <w:noWrap/>
            <w:vAlign w:val="bottom"/>
            <w:hideMark/>
          </w:tcPr>
          <w:p w:rsidR="005D0B9F" w:rsidRPr="001C16E0" w:rsidRDefault="005D0B9F" w:rsidP="005D0B9F">
            <w:pPr>
              <w:spacing w:after="0" w:line="240" w:lineRule="auto"/>
              <w:rPr>
                <w:rFonts w:ascii="Arial" w:eastAsia="Times New Roman" w:hAnsi="Arial" w:cs="Arial"/>
                <w:color w:val="000000"/>
                <w:sz w:val="16"/>
                <w:szCs w:val="16"/>
                <w:lang w:val="uk-UA" w:eastAsia="uk-UA"/>
              </w:rPr>
            </w:pPr>
          </w:p>
        </w:tc>
      </w:tr>
    </w:tbl>
    <w:p w:rsidR="005D0B9F" w:rsidRPr="001C16E0" w:rsidRDefault="005D0B9F" w:rsidP="0052043C">
      <w:pPr>
        <w:spacing w:after="0" w:line="240" w:lineRule="auto"/>
        <w:ind w:firstLine="720"/>
        <w:jc w:val="both"/>
        <w:rPr>
          <w:rFonts w:ascii="Times New Roman" w:hAnsi="Times New Roman" w:cs="Times New Roman"/>
          <w:sz w:val="24"/>
          <w:lang w:val="uk-UA"/>
        </w:rPr>
      </w:pPr>
    </w:p>
    <w:p w:rsidR="005D0B9F" w:rsidRPr="001C16E0" w:rsidRDefault="005D0B9F"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DD329C" w:rsidRPr="001C16E0" w:rsidRDefault="00DD329C" w:rsidP="0052043C">
      <w:pPr>
        <w:spacing w:after="0" w:line="240" w:lineRule="auto"/>
        <w:ind w:firstLine="720"/>
        <w:jc w:val="both"/>
        <w:rPr>
          <w:rFonts w:ascii="Times New Roman" w:hAnsi="Times New Roman" w:cs="Times New Roman"/>
          <w:sz w:val="24"/>
          <w:lang w:val="uk-UA"/>
        </w:rPr>
      </w:pPr>
    </w:p>
    <w:p w:rsidR="00345EBA" w:rsidRPr="001C16E0" w:rsidRDefault="00DD329C" w:rsidP="00DD329C">
      <w:pPr>
        <w:spacing w:after="0" w:line="240" w:lineRule="auto"/>
        <w:ind w:firstLine="720"/>
        <w:jc w:val="center"/>
        <w:rPr>
          <w:rFonts w:ascii="Times New Roman" w:hAnsi="Times New Roman" w:cs="Times New Roman"/>
          <w:b/>
          <w:sz w:val="24"/>
          <w:lang w:val="uk-UA"/>
        </w:rPr>
      </w:pPr>
      <w:r w:rsidRPr="001C16E0">
        <w:rPr>
          <w:rFonts w:ascii="Times New Roman" w:hAnsi="Times New Roman" w:cs="Times New Roman"/>
          <w:b/>
          <w:sz w:val="24"/>
          <w:lang w:val="uk-UA"/>
        </w:rPr>
        <w:lastRenderedPageBreak/>
        <w:t>Інструкція</w:t>
      </w:r>
      <w:r w:rsidRPr="001C16E0">
        <w:rPr>
          <w:rFonts w:ascii="Times New Roman" w:hAnsi="Times New Roman"/>
          <w:b/>
          <w:sz w:val="24"/>
          <w:szCs w:val="24"/>
          <w:lang w:val="uk-UA"/>
        </w:rPr>
        <w:t xml:space="preserve"> про порядок заповнення </w:t>
      </w:r>
      <w:r w:rsidR="00DC0759" w:rsidRPr="001C16E0">
        <w:rPr>
          <w:rFonts w:ascii="Times New Roman" w:hAnsi="Times New Roman"/>
          <w:b/>
          <w:sz w:val="24"/>
          <w:szCs w:val="24"/>
          <w:lang w:val="uk-UA"/>
        </w:rPr>
        <w:t>Р</w:t>
      </w:r>
      <w:r w:rsidRPr="001C16E0">
        <w:rPr>
          <w:rFonts w:ascii="Times New Roman" w:hAnsi="Times New Roman"/>
          <w:b/>
          <w:sz w:val="24"/>
          <w:szCs w:val="24"/>
          <w:lang w:val="uk-UA"/>
        </w:rPr>
        <w:t xml:space="preserve">ічного звіту </w:t>
      </w:r>
      <w:r w:rsidRPr="001C16E0">
        <w:rPr>
          <w:rFonts w:ascii="Times New Roman" w:eastAsia="Times New Roman" w:hAnsi="Times New Roman" w:cs="Times New Roman"/>
          <w:b/>
          <w:bCs/>
          <w:color w:val="0D0D0D"/>
          <w:sz w:val="24"/>
          <w:szCs w:val="24"/>
          <w:lang w:val="uk-UA" w:eastAsia="uk-UA"/>
        </w:rPr>
        <w:t>про сплату податків та інших  платежів для підприємств, що відносяться до добувної галузі</w:t>
      </w:r>
    </w:p>
    <w:p w:rsidR="00345EBA" w:rsidRPr="001C16E0" w:rsidRDefault="00345EBA" w:rsidP="00DD329C">
      <w:pPr>
        <w:spacing w:after="0" w:line="240" w:lineRule="auto"/>
        <w:ind w:firstLine="720"/>
        <w:jc w:val="both"/>
        <w:rPr>
          <w:rFonts w:ascii="Times New Roman" w:hAnsi="Times New Roman" w:cs="Times New Roman"/>
          <w:sz w:val="24"/>
          <w:lang w:val="uk-UA"/>
        </w:rPr>
      </w:pPr>
    </w:p>
    <w:p w:rsidR="00DD329C" w:rsidRPr="001C16E0" w:rsidRDefault="00DD329C" w:rsidP="00DD329C">
      <w:pPr>
        <w:spacing w:line="240" w:lineRule="auto"/>
        <w:jc w:val="center"/>
        <w:rPr>
          <w:rFonts w:ascii="Times New Roman" w:hAnsi="Times New Roman"/>
          <w:b/>
          <w:sz w:val="24"/>
          <w:szCs w:val="24"/>
          <w:lang w:val="uk-UA"/>
        </w:rPr>
      </w:pPr>
      <w:r w:rsidRPr="001C16E0">
        <w:rPr>
          <w:rFonts w:ascii="Times New Roman" w:hAnsi="Times New Roman"/>
          <w:b/>
          <w:sz w:val="24"/>
          <w:szCs w:val="24"/>
          <w:lang w:val="uk-UA"/>
        </w:rPr>
        <w:t>1.Загальні положення</w:t>
      </w:r>
    </w:p>
    <w:p w:rsidR="00DD329C" w:rsidRPr="001C16E0" w:rsidRDefault="00DD329C" w:rsidP="00DD329C">
      <w:pPr>
        <w:spacing w:line="240" w:lineRule="auto"/>
        <w:jc w:val="both"/>
        <w:rPr>
          <w:rFonts w:ascii="Times New Roman" w:hAnsi="Times New Roman"/>
          <w:sz w:val="24"/>
          <w:szCs w:val="24"/>
          <w:lang w:val="uk-UA"/>
        </w:rPr>
      </w:pPr>
      <w:r w:rsidRPr="001C16E0">
        <w:rPr>
          <w:rFonts w:ascii="Times New Roman" w:hAnsi="Times New Roman"/>
          <w:sz w:val="24"/>
          <w:szCs w:val="24"/>
          <w:lang w:val="uk-UA"/>
        </w:rPr>
        <w:t>Інструкція поширюється на підприємства, установи та організації видобувної галузі, їхні відділення, філії, інші відособлені підрозділи та представництва іноземних суб’єктів господарської діяльності (далі - підприємство).</w:t>
      </w:r>
    </w:p>
    <w:p w:rsidR="00DD329C" w:rsidRPr="001C16E0" w:rsidRDefault="00DD329C" w:rsidP="00DD329C">
      <w:pPr>
        <w:spacing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Звіт про Платежі/Надходження заповнюється за 2013 рік підприємствами, що належать до нафтогазового сектору (в т.ч. власники </w:t>
      </w:r>
      <w:proofErr w:type="spellStart"/>
      <w:r w:rsidRPr="001C16E0">
        <w:rPr>
          <w:rFonts w:ascii="Times New Roman" w:hAnsi="Times New Roman"/>
          <w:sz w:val="24"/>
          <w:szCs w:val="24"/>
          <w:lang w:val="uk-UA"/>
        </w:rPr>
        <w:t>нафто-</w:t>
      </w:r>
      <w:proofErr w:type="spellEnd"/>
      <w:r w:rsidRPr="001C16E0">
        <w:rPr>
          <w:rFonts w:ascii="Times New Roman" w:hAnsi="Times New Roman"/>
          <w:sz w:val="24"/>
          <w:szCs w:val="24"/>
          <w:lang w:val="uk-UA"/>
        </w:rPr>
        <w:t xml:space="preserve"> та газопроводів).</w:t>
      </w:r>
    </w:p>
    <w:p w:rsidR="00DD329C" w:rsidRPr="001C16E0" w:rsidRDefault="00DD329C" w:rsidP="00DD329C">
      <w:pPr>
        <w:spacing w:line="240" w:lineRule="auto"/>
        <w:ind w:left="360"/>
        <w:jc w:val="center"/>
        <w:rPr>
          <w:rFonts w:ascii="Times New Roman" w:hAnsi="Times New Roman"/>
          <w:b/>
          <w:sz w:val="24"/>
          <w:szCs w:val="24"/>
          <w:lang w:val="uk-UA"/>
        </w:rPr>
      </w:pPr>
      <w:r w:rsidRPr="001C16E0">
        <w:rPr>
          <w:rFonts w:ascii="Times New Roman" w:hAnsi="Times New Roman"/>
          <w:b/>
          <w:sz w:val="24"/>
          <w:szCs w:val="24"/>
          <w:lang w:val="uk-UA"/>
        </w:rPr>
        <w:t>2. Інструкція по заповненню</w:t>
      </w:r>
    </w:p>
    <w:p w:rsidR="00DD329C" w:rsidRPr="001C16E0" w:rsidRDefault="00DD329C" w:rsidP="00DD329C">
      <w:pPr>
        <w:pStyle w:val="ListParagraph"/>
        <w:spacing w:line="240" w:lineRule="auto"/>
        <w:jc w:val="both"/>
        <w:rPr>
          <w:rFonts w:ascii="Times New Roman" w:hAnsi="Times New Roman"/>
          <w:sz w:val="24"/>
          <w:szCs w:val="24"/>
          <w:highlight w:val="lightGray"/>
          <w:lang w:val="uk-UA"/>
        </w:rPr>
      </w:pP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При наявності у Платника філіалів та представництв, Звіт надається по кожному суб’єкту господарювання.</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Дані по Платежах/Надходженнях заповнюються Платником/Отримувачем згідно кодів класифікації доходів бюджету (далі - ККДБ) у відповідності з Єдиною бюджетною класифікацією України, затвердженою Наказом Міністерства фінансів України від 14.01.2011 року №11 «Про бюджетну класифікацію».</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У Звіті відображаються суми фактично здійснених за звітний період Платежів, враховуючи Платежі, здійснені в рахунок погашення заборгованості за попередній період, в тому числі, за рахунок  інших надлишково сплачених Платежів, вказаних у Звіті. Нараховані, але не сплачені у звітному періоді суми Платежів у Звіт не включаються.</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Суми Платежів вказуються Платником згідно з даними бухгалтерського обліку і підтверджуються Аудитором, котрий проводить Аудит діяльності Платника. У випадку відсутності аудиторського висновку або підтвердження Аудитора по сумах податків, заплачених Платником, такий платник надає пояснення щодо причин відсутності аудиту/підтвердження аудитором сум податків. Суми повернення ПДВ з бюджету вказуються з мінусом.</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При отриманні від Компанії по звірці запиту з приводу помилкових або неповних даних, а також з приводу розбіжностей між даними Платника та Отримувача:</w:t>
      </w:r>
    </w:p>
    <w:p w:rsidR="00DD329C" w:rsidRPr="001C16E0" w:rsidRDefault="00DD329C" w:rsidP="00AA79EB">
      <w:pPr>
        <w:pStyle w:val="ListParagraph"/>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 отримувач надає виписки з рахунку Платника, по котрому виявилась розбіжність, за відповідний період;</w:t>
      </w:r>
    </w:p>
    <w:p w:rsidR="00DD329C" w:rsidRPr="001C16E0" w:rsidRDefault="00DD329C" w:rsidP="00AA79EB">
      <w:pPr>
        <w:pStyle w:val="ListParagraph"/>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 xml:space="preserve">- платник надає документи, котрі підтверджують суму здійсненого платежу, по якому виявилась різниця, такі як банківські виписки, особовий рахунок, що підтверджує виплату податків через зарахування за рахунок інших податків і т.д. </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При необхідності Платники/Отримувачі можуть звертатись до Компанії по звірці за поясненнями відносно написання Звіту.</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У разі відсутності окремих показників ставляться прочерки.</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lastRenderedPageBreak/>
        <w:t>Звіт затверджується першим керівником Платника/Отримувача або його уповноваженим представником, котрий відповідає за якість та  достовірність інформації.</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Якщо сукупний дохід не профільних сегментів підприємства (інших ніж видобування та транспортування) від реалізації продукції (товарів, робіт, послуг) зовнішнім покупцям і за внутрішньогосподарськими розрахунками підприємства становить менше ніж 10% загального доходу від продажу зовнішнім покупцям і за внутрішньогосподарськими розрахунками всіх сегментів певного виду (господарського або географічного відповідно), тоді підприємство не розділяє сплату податків між видобувною галуззю  та іншими видами діяльності. Вважається, що сплата податку стосується лише видобувної галузі.</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Якщо сукупний дохід не профільних сегментів підприємства (інших ніж видобування та транспортування) від реалізації продукції (товарів, робіт, послуг) зовнішнім покупцям і за внутрішньогосподарськими розрахунками підприємства становить не менше ніж 10% загального доходу від продажу зовнішнім покупцям і за внутрішньогосподарськими розрахунками всіх господарських сегментів певного виду, тоді підприємство розділяє сплату податків між видобувною галуззю  та іншими видами діяльності. Розділення відбувається пропорційно до сукупного доходу профільного та не профільних господарських сегментів.</w:t>
      </w:r>
    </w:p>
    <w:p w:rsidR="00DD329C" w:rsidRPr="001C16E0" w:rsidRDefault="00DD329C" w:rsidP="00AA79EB">
      <w:pPr>
        <w:pStyle w:val="ListParagraph"/>
        <w:numPr>
          <w:ilvl w:val="0"/>
          <w:numId w:val="3"/>
        </w:numPr>
        <w:spacing w:after="120" w:line="240" w:lineRule="auto"/>
        <w:contextualSpacing w:val="0"/>
        <w:jc w:val="both"/>
        <w:rPr>
          <w:rFonts w:ascii="Times New Roman" w:hAnsi="Times New Roman"/>
          <w:sz w:val="24"/>
          <w:szCs w:val="24"/>
          <w:lang w:val="uk-UA"/>
        </w:rPr>
      </w:pPr>
      <w:r w:rsidRPr="001C16E0">
        <w:rPr>
          <w:rFonts w:ascii="Times New Roman" w:hAnsi="Times New Roman"/>
          <w:sz w:val="24"/>
          <w:szCs w:val="24"/>
          <w:lang w:val="uk-UA"/>
        </w:rPr>
        <w:t>Звіт складається на паперових та електронних носіях і надсилається в Міністерство енергетики та вугільної промисловості України в строк і на адресу, вказану у Наказі Міністерства енергетики та вугільної промисловості України.</w:t>
      </w:r>
    </w:p>
    <w:p w:rsidR="00DD329C" w:rsidRPr="001C16E0" w:rsidRDefault="00DD329C" w:rsidP="00DD329C">
      <w:pPr>
        <w:pStyle w:val="ListParagraph"/>
        <w:spacing w:line="240" w:lineRule="auto"/>
        <w:ind w:left="0"/>
        <w:jc w:val="center"/>
        <w:rPr>
          <w:rFonts w:ascii="Times New Roman" w:hAnsi="Times New Roman"/>
          <w:b/>
          <w:sz w:val="24"/>
          <w:szCs w:val="24"/>
          <w:lang w:val="uk-UA"/>
        </w:rPr>
      </w:pPr>
    </w:p>
    <w:p w:rsidR="00DD329C" w:rsidRPr="001C16E0" w:rsidRDefault="00DD329C" w:rsidP="00DD329C">
      <w:pPr>
        <w:pStyle w:val="ListParagraph"/>
        <w:spacing w:line="240" w:lineRule="auto"/>
        <w:ind w:left="0"/>
        <w:jc w:val="center"/>
        <w:rPr>
          <w:rFonts w:ascii="Times New Roman" w:hAnsi="Times New Roman"/>
          <w:b/>
          <w:sz w:val="24"/>
          <w:szCs w:val="24"/>
          <w:lang w:val="uk-UA"/>
        </w:rPr>
      </w:pPr>
      <w:r w:rsidRPr="001C16E0">
        <w:rPr>
          <w:rFonts w:ascii="Times New Roman" w:hAnsi="Times New Roman"/>
          <w:b/>
          <w:sz w:val="24"/>
          <w:szCs w:val="24"/>
          <w:lang w:val="uk-UA"/>
        </w:rPr>
        <w:t>3. Зміст шаблону для заповнення</w:t>
      </w: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8505"/>
      </w:tblGrid>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Державний/місцевий </w:t>
            </w:r>
          </w:p>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Бюджет</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Ідентифікатор до якого бюджету платиться податок (ДБ – державний бюджет, МБ – місцевий бюджет) </w:t>
            </w:r>
          </w:p>
        </w:tc>
      </w:tr>
      <w:tr w:rsidR="00DD329C" w:rsidRPr="001709BA" w:rsidTr="007D7B49">
        <w:trPr>
          <w:jc w:val="center"/>
        </w:trPr>
        <w:tc>
          <w:tcPr>
            <w:tcW w:w="2835" w:type="dxa"/>
          </w:tcPr>
          <w:p w:rsidR="00DD329C" w:rsidRPr="001C16E0" w:rsidRDefault="0087458D" w:rsidP="00DD329C">
            <w:pPr>
              <w:spacing w:after="0" w:line="240" w:lineRule="auto"/>
              <w:jc w:val="both"/>
              <w:rPr>
                <w:rFonts w:ascii="Times New Roman" w:hAnsi="Times New Roman"/>
                <w:sz w:val="24"/>
                <w:szCs w:val="24"/>
                <w:lang w:val="uk-UA"/>
              </w:rPr>
            </w:pPr>
            <w:r>
              <w:rPr>
                <w:rFonts w:ascii="Times New Roman" w:hAnsi="Times New Roman"/>
                <w:sz w:val="24"/>
                <w:szCs w:val="24"/>
                <w:lang w:val="uk-UA"/>
              </w:rPr>
              <w:t>ККДБ</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ККДБ, згідно яких зараховуються платежі</w:t>
            </w:r>
          </w:p>
        </w:tc>
      </w:tr>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Назва платежу</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Перелік податкових та неподаткових надходжень/платежів</w:t>
            </w:r>
          </w:p>
        </w:tc>
      </w:tr>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База оподаткування</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База з якої відбувається нарахування відповідного податку, в тис. </w:t>
            </w:r>
            <w:proofErr w:type="spellStart"/>
            <w:r w:rsidRPr="001C16E0">
              <w:rPr>
                <w:rFonts w:ascii="Times New Roman" w:hAnsi="Times New Roman"/>
                <w:sz w:val="24"/>
                <w:szCs w:val="24"/>
                <w:lang w:val="uk-UA"/>
              </w:rPr>
              <w:t>грн</w:t>
            </w:r>
            <w:proofErr w:type="spellEnd"/>
          </w:p>
        </w:tc>
      </w:tr>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Ставка оподаткування</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Діюча ставка для відповідного податку</w:t>
            </w:r>
          </w:p>
        </w:tc>
      </w:tr>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proofErr w:type="spellStart"/>
            <w:r w:rsidRPr="001C16E0">
              <w:rPr>
                <w:rFonts w:ascii="Times New Roman" w:hAnsi="Times New Roman"/>
                <w:sz w:val="24"/>
                <w:szCs w:val="24"/>
                <w:lang w:val="uk-UA"/>
              </w:rPr>
              <w:t>Нараховано</w:t>
            </w:r>
            <w:proofErr w:type="spellEnd"/>
            <w:r w:rsidRPr="001C16E0">
              <w:rPr>
                <w:rFonts w:ascii="Times New Roman" w:hAnsi="Times New Roman"/>
                <w:sz w:val="24"/>
                <w:szCs w:val="24"/>
                <w:lang w:val="uk-UA"/>
              </w:rPr>
              <w:t xml:space="preserve"> за звітний рік</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Сума податку нарахована за звітний рік</w:t>
            </w:r>
          </w:p>
        </w:tc>
      </w:tr>
      <w:tr w:rsidR="00DD329C" w:rsidRPr="001709BA" w:rsidTr="007D7B49">
        <w:trPr>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Сплачено у звітному році, всього</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Сума Платежу/Надходження, вказаного в стовпці Назва платежу, фактично сплаченого/отриманого по ККДБ, визначеному в Стовпці ККДБ, в тис. </w:t>
            </w:r>
            <w:proofErr w:type="spellStart"/>
            <w:r w:rsidRPr="001C16E0">
              <w:rPr>
                <w:rFonts w:ascii="Times New Roman" w:hAnsi="Times New Roman"/>
                <w:sz w:val="24"/>
                <w:szCs w:val="24"/>
                <w:lang w:val="uk-UA"/>
              </w:rPr>
              <w:t>грн</w:t>
            </w:r>
            <w:proofErr w:type="spellEnd"/>
          </w:p>
        </w:tc>
      </w:tr>
      <w:tr w:rsidR="00DD329C" w:rsidRPr="001709BA" w:rsidTr="007D7B49">
        <w:trPr>
          <w:trHeight w:val="928"/>
          <w:jc w:val="center"/>
        </w:trPr>
        <w:tc>
          <w:tcPr>
            <w:tcW w:w="283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В тому числі за попередні роки</w:t>
            </w:r>
          </w:p>
        </w:tc>
        <w:tc>
          <w:tcPr>
            <w:tcW w:w="8505" w:type="dxa"/>
          </w:tcPr>
          <w:p w:rsidR="00DD329C" w:rsidRPr="001C16E0" w:rsidRDefault="00DD329C" w:rsidP="00DD329C">
            <w:pPr>
              <w:spacing w:after="0" w:line="240" w:lineRule="auto"/>
              <w:jc w:val="both"/>
              <w:rPr>
                <w:rFonts w:ascii="Times New Roman" w:hAnsi="Times New Roman"/>
                <w:sz w:val="24"/>
                <w:szCs w:val="24"/>
                <w:lang w:val="uk-UA"/>
              </w:rPr>
            </w:pPr>
            <w:r w:rsidRPr="001C16E0">
              <w:rPr>
                <w:rFonts w:ascii="Times New Roman" w:hAnsi="Times New Roman"/>
                <w:sz w:val="24"/>
                <w:szCs w:val="24"/>
                <w:lang w:val="uk-UA"/>
              </w:rPr>
              <w:t xml:space="preserve"> Сума Платежу/Надходження, фактично сплаченого/отриманого у звітному році, але за попередні періоди, вказаного в стовпці Назва платежу, фактично сплаченого/отриманого по ККДБ, визначеному в Стовпці ККДБ, в тис. </w:t>
            </w:r>
            <w:proofErr w:type="spellStart"/>
            <w:r w:rsidRPr="001C16E0">
              <w:rPr>
                <w:rFonts w:ascii="Times New Roman" w:hAnsi="Times New Roman"/>
                <w:sz w:val="24"/>
                <w:szCs w:val="24"/>
                <w:lang w:val="uk-UA"/>
              </w:rPr>
              <w:t>грн</w:t>
            </w:r>
            <w:proofErr w:type="spellEnd"/>
          </w:p>
        </w:tc>
      </w:tr>
    </w:tbl>
    <w:p w:rsidR="00EA0506" w:rsidRPr="001C16E0" w:rsidRDefault="00EA0506" w:rsidP="001709BA">
      <w:pPr>
        <w:spacing w:after="0" w:line="240" w:lineRule="auto"/>
        <w:jc w:val="both"/>
        <w:rPr>
          <w:rFonts w:ascii="Times New Roman" w:hAnsi="Times New Roman" w:cs="Times New Roman"/>
          <w:sz w:val="24"/>
          <w:lang w:val="uk-UA"/>
        </w:rPr>
      </w:pPr>
    </w:p>
    <w:sectPr w:rsidR="00EA0506" w:rsidRPr="001C16E0" w:rsidSect="001709BA">
      <w:footerReference w:type="default" r:id="rId8"/>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E4" w:rsidRDefault="008D4EE4" w:rsidP="00C030C9">
      <w:pPr>
        <w:spacing w:after="0" w:line="240" w:lineRule="auto"/>
      </w:pPr>
      <w:r>
        <w:separator/>
      </w:r>
    </w:p>
  </w:endnote>
  <w:endnote w:type="continuationSeparator" w:id="0">
    <w:p w:rsidR="008D4EE4" w:rsidRDefault="008D4EE4" w:rsidP="00C0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EE4" w:rsidRPr="00A21164" w:rsidRDefault="008D4EE4" w:rsidP="00C030C9">
    <w:pPr>
      <w:pStyle w:val="Footer"/>
      <w:jc w:val="center"/>
      <w:rPr>
        <w:rFonts w:ascii="Times New Roman" w:hAnsi="Times New Roman" w:cs="Times New Roman"/>
        <w:sz w:val="20"/>
      </w:rPr>
    </w:pPr>
    <w:proofErr w:type="spellStart"/>
    <w:r w:rsidRPr="00A21164">
      <w:rPr>
        <w:rFonts w:ascii="Times New Roman" w:hAnsi="Times New Roman" w:cs="Times New Roman"/>
        <w:sz w:val="20"/>
        <w:lang w:val="ru-RU"/>
      </w:rPr>
      <w:t>стор</w:t>
    </w:r>
    <w:proofErr w:type="spellEnd"/>
    <w:r w:rsidRPr="00A21164">
      <w:rPr>
        <w:rFonts w:ascii="Times New Roman" w:hAnsi="Times New Roman" w:cs="Times New Roman"/>
        <w:sz w:val="20"/>
        <w:lang w:val="ru-RU"/>
      </w:rPr>
      <w:t>.</w:t>
    </w:r>
    <w:r w:rsidRPr="00A21164">
      <w:rPr>
        <w:rFonts w:ascii="Times New Roman" w:hAnsi="Times New Roman" w:cs="Times New Roman"/>
        <w:sz w:val="20"/>
      </w:rPr>
      <w:t xml:space="preserve"> </w:t>
    </w:r>
    <w:r w:rsidRPr="00A21164">
      <w:rPr>
        <w:rFonts w:ascii="Times New Roman" w:hAnsi="Times New Roman" w:cs="Times New Roman"/>
        <w:b/>
        <w:sz w:val="20"/>
      </w:rPr>
      <w:fldChar w:fldCharType="begin"/>
    </w:r>
    <w:r w:rsidRPr="00A21164">
      <w:rPr>
        <w:rFonts w:ascii="Times New Roman" w:hAnsi="Times New Roman" w:cs="Times New Roman"/>
        <w:b/>
        <w:sz w:val="20"/>
      </w:rPr>
      <w:instrText xml:space="preserve"> PAGE  \* Arabic  \* MERGEFORMAT </w:instrText>
    </w:r>
    <w:r w:rsidRPr="00A21164">
      <w:rPr>
        <w:rFonts w:ascii="Times New Roman" w:hAnsi="Times New Roman" w:cs="Times New Roman"/>
        <w:b/>
        <w:sz w:val="20"/>
      </w:rPr>
      <w:fldChar w:fldCharType="separate"/>
    </w:r>
    <w:r w:rsidR="001709BA">
      <w:rPr>
        <w:rFonts w:ascii="Times New Roman" w:hAnsi="Times New Roman" w:cs="Times New Roman"/>
        <w:b/>
        <w:noProof/>
        <w:sz w:val="20"/>
      </w:rPr>
      <w:t>10</w:t>
    </w:r>
    <w:r w:rsidRPr="00A21164">
      <w:rPr>
        <w:rFonts w:ascii="Times New Roman" w:hAnsi="Times New Roman" w:cs="Times New Roman"/>
        <w:b/>
        <w:sz w:val="20"/>
      </w:rPr>
      <w:fldChar w:fldCharType="end"/>
    </w:r>
    <w:r w:rsidRPr="00A21164">
      <w:rPr>
        <w:rFonts w:ascii="Times New Roman" w:hAnsi="Times New Roman" w:cs="Times New Roman"/>
        <w:sz w:val="20"/>
      </w:rPr>
      <w:t xml:space="preserve"> </w:t>
    </w:r>
    <w:r w:rsidRPr="00A21164">
      <w:rPr>
        <w:rFonts w:ascii="Times New Roman" w:hAnsi="Times New Roman" w:cs="Times New Roman"/>
        <w:sz w:val="20"/>
        <w:lang w:val="ru-RU"/>
      </w:rPr>
      <w:t>з</w:t>
    </w:r>
    <w:r w:rsidRPr="00A21164">
      <w:rPr>
        <w:rFonts w:ascii="Times New Roman" w:hAnsi="Times New Roman" w:cs="Times New Roman"/>
        <w:sz w:val="20"/>
      </w:rPr>
      <w:t xml:space="preserve"> </w:t>
    </w:r>
    <w:r w:rsidRPr="00A21164">
      <w:rPr>
        <w:rFonts w:ascii="Times New Roman" w:hAnsi="Times New Roman" w:cs="Times New Roman"/>
        <w:b/>
        <w:sz w:val="20"/>
      </w:rPr>
      <w:fldChar w:fldCharType="begin"/>
    </w:r>
    <w:r w:rsidRPr="00A21164">
      <w:rPr>
        <w:rFonts w:ascii="Times New Roman" w:hAnsi="Times New Roman" w:cs="Times New Roman"/>
        <w:b/>
        <w:sz w:val="20"/>
      </w:rPr>
      <w:instrText xml:space="preserve"> NUMPAGES  \* Arabic  \* MERGEFORMAT </w:instrText>
    </w:r>
    <w:r w:rsidRPr="00A21164">
      <w:rPr>
        <w:rFonts w:ascii="Times New Roman" w:hAnsi="Times New Roman" w:cs="Times New Roman"/>
        <w:b/>
        <w:sz w:val="20"/>
      </w:rPr>
      <w:fldChar w:fldCharType="separate"/>
    </w:r>
    <w:r w:rsidR="001709BA">
      <w:rPr>
        <w:rFonts w:ascii="Times New Roman" w:hAnsi="Times New Roman" w:cs="Times New Roman"/>
        <w:b/>
        <w:noProof/>
        <w:sz w:val="20"/>
      </w:rPr>
      <w:t>11</w:t>
    </w:r>
    <w:r w:rsidRPr="00A21164">
      <w:rPr>
        <w:rFonts w:ascii="Times New Roman" w:hAnsi="Times New Roman" w:cs="Times New Roman"/>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E4" w:rsidRDefault="008D4EE4" w:rsidP="00C030C9">
      <w:pPr>
        <w:spacing w:after="0" w:line="240" w:lineRule="auto"/>
      </w:pPr>
      <w:r>
        <w:separator/>
      </w:r>
    </w:p>
  </w:footnote>
  <w:footnote w:type="continuationSeparator" w:id="0">
    <w:p w:rsidR="008D4EE4" w:rsidRDefault="008D4EE4" w:rsidP="00C030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35D"/>
    <w:multiLevelType w:val="hybridMultilevel"/>
    <w:tmpl w:val="50227D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43958E2"/>
    <w:multiLevelType w:val="hybridMultilevel"/>
    <w:tmpl w:val="3DC2A438"/>
    <w:lvl w:ilvl="0" w:tplc="0419000F">
      <w:start w:val="1"/>
      <w:numFmt w:val="decimal"/>
      <w:lvlText w:val="%1."/>
      <w:lvlJc w:val="left"/>
      <w:pPr>
        <w:ind w:left="720" w:hanging="360"/>
      </w:pPr>
    </w:lvl>
    <w:lvl w:ilvl="1" w:tplc="A88A496A">
      <w:start w:val="1"/>
      <w:numFmt w:val="decimal"/>
      <w:lvlText w:val="%2."/>
      <w:lvlJc w:val="left"/>
      <w:pPr>
        <w:ind w:left="928" w:hanging="360"/>
      </w:pPr>
      <w:rPr>
        <w:rFonts w:ascii="Times New Roman" w:eastAsiaTheme="minorHAnsi" w:hAnsi="Times New Roman" w:cs="Times New Roman"/>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24335"/>
    <w:multiLevelType w:val="hybridMultilevel"/>
    <w:tmpl w:val="212E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13429"/>
    <w:multiLevelType w:val="hybridMultilevel"/>
    <w:tmpl w:val="AB9E773A"/>
    <w:lvl w:ilvl="0" w:tplc="7CE60FA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4379B5"/>
    <w:multiLevelType w:val="hybridMultilevel"/>
    <w:tmpl w:val="3DC2A438"/>
    <w:lvl w:ilvl="0" w:tplc="0419000F">
      <w:start w:val="1"/>
      <w:numFmt w:val="decimal"/>
      <w:lvlText w:val="%1."/>
      <w:lvlJc w:val="left"/>
      <w:pPr>
        <w:ind w:left="720" w:hanging="360"/>
      </w:pPr>
    </w:lvl>
    <w:lvl w:ilvl="1" w:tplc="A88A496A">
      <w:start w:val="1"/>
      <w:numFmt w:val="decimal"/>
      <w:lvlText w:val="%2."/>
      <w:lvlJc w:val="left"/>
      <w:pPr>
        <w:ind w:left="928" w:hanging="360"/>
      </w:pPr>
      <w:rPr>
        <w:rFonts w:ascii="Times New Roman" w:eastAsiaTheme="minorHAnsi" w:hAnsi="Times New Roman" w:cs="Times New Roman"/>
        <w:sz w:val="20"/>
        <w:szCs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953DC2"/>
    <w:multiLevelType w:val="hybridMultilevel"/>
    <w:tmpl w:val="F8A43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02"/>
    <w:rsid w:val="00036650"/>
    <w:rsid w:val="001304D2"/>
    <w:rsid w:val="001617C9"/>
    <w:rsid w:val="001709BA"/>
    <w:rsid w:val="00176BF1"/>
    <w:rsid w:val="00185C21"/>
    <w:rsid w:val="001C16E0"/>
    <w:rsid w:val="001D0CE0"/>
    <w:rsid w:val="001E78E4"/>
    <w:rsid w:val="002633A8"/>
    <w:rsid w:val="00306996"/>
    <w:rsid w:val="00332C59"/>
    <w:rsid w:val="003345B2"/>
    <w:rsid w:val="00345EBA"/>
    <w:rsid w:val="00365CC4"/>
    <w:rsid w:val="003A47AE"/>
    <w:rsid w:val="0048032B"/>
    <w:rsid w:val="004A2873"/>
    <w:rsid w:val="004B66A3"/>
    <w:rsid w:val="0052043C"/>
    <w:rsid w:val="00535631"/>
    <w:rsid w:val="00575FE5"/>
    <w:rsid w:val="005D0B9F"/>
    <w:rsid w:val="0066492C"/>
    <w:rsid w:val="00671BC8"/>
    <w:rsid w:val="00760DAF"/>
    <w:rsid w:val="00784186"/>
    <w:rsid w:val="007918A9"/>
    <w:rsid w:val="007A35CE"/>
    <w:rsid w:val="007D7B49"/>
    <w:rsid w:val="0087458D"/>
    <w:rsid w:val="0088655B"/>
    <w:rsid w:val="008A043C"/>
    <w:rsid w:val="008D4EE4"/>
    <w:rsid w:val="00A0329C"/>
    <w:rsid w:val="00A21164"/>
    <w:rsid w:val="00A9026A"/>
    <w:rsid w:val="00A96D4A"/>
    <w:rsid w:val="00AA79EB"/>
    <w:rsid w:val="00AF38EE"/>
    <w:rsid w:val="00AF3FF3"/>
    <w:rsid w:val="00B739EA"/>
    <w:rsid w:val="00BA2604"/>
    <w:rsid w:val="00BE32C0"/>
    <w:rsid w:val="00C030C9"/>
    <w:rsid w:val="00C42424"/>
    <w:rsid w:val="00D125F9"/>
    <w:rsid w:val="00D37CAC"/>
    <w:rsid w:val="00D5369B"/>
    <w:rsid w:val="00DC0759"/>
    <w:rsid w:val="00DD329C"/>
    <w:rsid w:val="00E073C5"/>
    <w:rsid w:val="00E32D0B"/>
    <w:rsid w:val="00E6312D"/>
    <w:rsid w:val="00EA0506"/>
    <w:rsid w:val="00ED192B"/>
    <w:rsid w:val="00ED787E"/>
    <w:rsid w:val="00EF25A9"/>
    <w:rsid w:val="00F221BF"/>
    <w:rsid w:val="00F876F4"/>
    <w:rsid w:val="00F9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2D"/>
    <w:rPr>
      <w:color w:val="0000FF" w:themeColor="hyperlink"/>
      <w:u w:val="single"/>
    </w:rPr>
  </w:style>
  <w:style w:type="paragraph" w:styleId="ListParagraph">
    <w:name w:val="List Paragraph"/>
    <w:basedOn w:val="Normal"/>
    <w:uiPriority w:val="34"/>
    <w:qFormat/>
    <w:rsid w:val="00C030C9"/>
    <w:pPr>
      <w:ind w:left="720"/>
      <w:contextualSpacing/>
    </w:pPr>
  </w:style>
  <w:style w:type="paragraph" w:styleId="Header">
    <w:name w:val="header"/>
    <w:basedOn w:val="Normal"/>
    <w:link w:val="HeaderChar"/>
    <w:uiPriority w:val="99"/>
    <w:unhideWhenUsed/>
    <w:rsid w:val="00C030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30C9"/>
  </w:style>
  <w:style w:type="paragraph" w:styleId="Footer">
    <w:name w:val="footer"/>
    <w:basedOn w:val="Normal"/>
    <w:link w:val="FooterChar"/>
    <w:uiPriority w:val="99"/>
    <w:unhideWhenUsed/>
    <w:rsid w:val="00C030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30C9"/>
  </w:style>
  <w:style w:type="paragraph" w:styleId="BalloonText">
    <w:name w:val="Balloon Text"/>
    <w:basedOn w:val="Normal"/>
    <w:link w:val="BalloonTextChar"/>
    <w:uiPriority w:val="99"/>
    <w:semiHidden/>
    <w:unhideWhenUsed/>
    <w:rsid w:val="001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E0"/>
    <w:rPr>
      <w:rFonts w:ascii="Tahoma" w:hAnsi="Tahoma" w:cs="Tahoma"/>
      <w:sz w:val="16"/>
      <w:szCs w:val="16"/>
    </w:rPr>
  </w:style>
  <w:style w:type="character" w:styleId="CommentReference">
    <w:name w:val="annotation reference"/>
    <w:basedOn w:val="DefaultParagraphFont"/>
    <w:uiPriority w:val="99"/>
    <w:semiHidden/>
    <w:unhideWhenUsed/>
    <w:rsid w:val="00176BF1"/>
    <w:rPr>
      <w:sz w:val="16"/>
      <w:szCs w:val="16"/>
    </w:rPr>
  </w:style>
  <w:style w:type="paragraph" w:styleId="CommentText">
    <w:name w:val="annotation text"/>
    <w:basedOn w:val="Normal"/>
    <w:link w:val="CommentTextChar"/>
    <w:uiPriority w:val="99"/>
    <w:semiHidden/>
    <w:unhideWhenUsed/>
    <w:rsid w:val="00176BF1"/>
    <w:pPr>
      <w:spacing w:line="240" w:lineRule="auto"/>
    </w:pPr>
    <w:rPr>
      <w:sz w:val="20"/>
      <w:szCs w:val="20"/>
    </w:rPr>
  </w:style>
  <w:style w:type="character" w:customStyle="1" w:styleId="CommentTextChar">
    <w:name w:val="Comment Text Char"/>
    <w:basedOn w:val="DefaultParagraphFont"/>
    <w:link w:val="CommentText"/>
    <w:uiPriority w:val="99"/>
    <w:semiHidden/>
    <w:rsid w:val="00176BF1"/>
    <w:rPr>
      <w:sz w:val="20"/>
      <w:szCs w:val="20"/>
    </w:rPr>
  </w:style>
  <w:style w:type="paragraph" w:styleId="CommentSubject">
    <w:name w:val="annotation subject"/>
    <w:basedOn w:val="CommentText"/>
    <w:next w:val="CommentText"/>
    <w:link w:val="CommentSubjectChar"/>
    <w:uiPriority w:val="99"/>
    <w:semiHidden/>
    <w:unhideWhenUsed/>
    <w:rsid w:val="00176BF1"/>
    <w:rPr>
      <w:b/>
      <w:bCs/>
    </w:rPr>
  </w:style>
  <w:style w:type="character" w:customStyle="1" w:styleId="CommentSubjectChar">
    <w:name w:val="Comment Subject Char"/>
    <w:basedOn w:val="CommentTextChar"/>
    <w:link w:val="CommentSubject"/>
    <w:uiPriority w:val="99"/>
    <w:semiHidden/>
    <w:rsid w:val="00176B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2D"/>
    <w:rPr>
      <w:color w:val="0000FF" w:themeColor="hyperlink"/>
      <w:u w:val="single"/>
    </w:rPr>
  </w:style>
  <w:style w:type="paragraph" w:styleId="ListParagraph">
    <w:name w:val="List Paragraph"/>
    <w:basedOn w:val="Normal"/>
    <w:uiPriority w:val="34"/>
    <w:qFormat/>
    <w:rsid w:val="00C030C9"/>
    <w:pPr>
      <w:ind w:left="720"/>
      <w:contextualSpacing/>
    </w:pPr>
  </w:style>
  <w:style w:type="paragraph" w:styleId="Header">
    <w:name w:val="header"/>
    <w:basedOn w:val="Normal"/>
    <w:link w:val="HeaderChar"/>
    <w:uiPriority w:val="99"/>
    <w:unhideWhenUsed/>
    <w:rsid w:val="00C030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30C9"/>
  </w:style>
  <w:style w:type="paragraph" w:styleId="Footer">
    <w:name w:val="footer"/>
    <w:basedOn w:val="Normal"/>
    <w:link w:val="FooterChar"/>
    <w:uiPriority w:val="99"/>
    <w:unhideWhenUsed/>
    <w:rsid w:val="00C030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30C9"/>
  </w:style>
  <w:style w:type="paragraph" w:styleId="BalloonText">
    <w:name w:val="Balloon Text"/>
    <w:basedOn w:val="Normal"/>
    <w:link w:val="BalloonTextChar"/>
    <w:uiPriority w:val="99"/>
    <w:semiHidden/>
    <w:unhideWhenUsed/>
    <w:rsid w:val="001C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E0"/>
    <w:rPr>
      <w:rFonts w:ascii="Tahoma" w:hAnsi="Tahoma" w:cs="Tahoma"/>
      <w:sz w:val="16"/>
      <w:szCs w:val="16"/>
    </w:rPr>
  </w:style>
  <w:style w:type="character" w:styleId="CommentReference">
    <w:name w:val="annotation reference"/>
    <w:basedOn w:val="DefaultParagraphFont"/>
    <w:uiPriority w:val="99"/>
    <w:semiHidden/>
    <w:unhideWhenUsed/>
    <w:rsid w:val="00176BF1"/>
    <w:rPr>
      <w:sz w:val="16"/>
      <w:szCs w:val="16"/>
    </w:rPr>
  </w:style>
  <w:style w:type="paragraph" w:styleId="CommentText">
    <w:name w:val="annotation text"/>
    <w:basedOn w:val="Normal"/>
    <w:link w:val="CommentTextChar"/>
    <w:uiPriority w:val="99"/>
    <w:semiHidden/>
    <w:unhideWhenUsed/>
    <w:rsid w:val="00176BF1"/>
    <w:pPr>
      <w:spacing w:line="240" w:lineRule="auto"/>
    </w:pPr>
    <w:rPr>
      <w:sz w:val="20"/>
      <w:szCs w:val="20"/>
    </w:rPr>
  </w:style>
  <w:style w:type="character" w:customStyle="1" w:styleId="CommentTextChar">
    <w:name w:val="Comment Text Char"/>
    <w:basedOn w:val="DefaultParagraphFont"/>
    <w:link w:val="CommentText"/>
    <w:uiPriority w:val="99"/>
    <w:semiHidden/>
    <w:rsid w:val="00176BF1"/>
    <w:rPr>
      <w:sz w:val="20"/>
      <w:szCs w:val="20"/>
    </w:rPr>
  </w:style>
  <w:style w:type="paragraph" w:styleId="CommentSubject">
    <w:name w:val="annotation subject"/>
    <w:basedOn w:val="CommentText"/>
    <w:next w:val="CommentText"/>
    <w:link w:val="CommentSubjectChar"/>
    <w:uiPriority w:val="99"/>
    <w:semiHidden/>
    <w:unhideWhenUsed/>
    <w:rsid w:val="00176BF1"/>
    <w:rPr>
      <w:b/>
      <w:bCs/>
    </w:rPr>
  </w:style>
  <w:style w:type="character" w:customStyle="1" w:styleId="CommentSubjectChar">
    <w:name w:val="Comment Subject Char"/>
    <w:basedOn w:val="CommentTextChar"/>
    <w:link w:val="CommentSubject"/>
    <w:uiPriority w:val="99"/>
    <w:semiHidden/>
    <w:rsid w:val="00176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6389">
      <w:bodyDiv w:val="1"/>
      <w:marLeft w:val="0"/>
      <w:marRight w:val="0"/>
      <w:marTop w:val="0"/>
      <w:marBottom w:val="0"/>
      <w:divBdr>
        <w:top w:val="none" w:sz="0" w:space="0" w:color="auto"/>
        <w:left w:val="none" w:sz="0" w:space="0" w:color="auto"/>
        <w:bottom w:val="none" w:sz="0" w:space="0" w:color="auto"/>
        <w:right w:val="none" w:sz="0" w:space="0" w:color="auto"/>
      </w:divBdr>
    </w:div>
    <w:div w:id="248394935">
      <w:bodyDiv w:val="1"/>
      <w:marLeft w:val="0"/>
      <w:marRight w:val="0"/>
      <w:marTop w:val="0"/>
      <w:marBottom w:val="0"/>
      <w:divBdr>
        <w:top w:val="none" w:sz="0" w:space="0" w:color="auto"/>
        <w:left w:val="none" w:sz="0" w:space="0" w:color="auto"/>
        <w:bottom w:val="none" w:sz="0" w:space="0" w:color="auto"/>
        <w:right w:val="none" w:sz="0" w:space="0" w:color="auto"/>
      </w:divBdr>
    </w:div>
    <w:div w:id="277952403">
      <w:bodyDiv w:val="1"/>
      <w:marLeft w:val="0"/>
      <w:marRight w:val="0"/>
      <w:marTop w:val="0"/>
      <w:marBottom w:val="0"/>
      <w:divBdr>
        <w:top w:val="none" w:sz="0" w:space="0" w:color="auto"/>
        <w:left w:val="none" w:sz="0" w:space="0" w:color="auto"/>
        <w:bottom w:val="none" w:sz="0" w:space="0" w:color="auto"/>
        <w:right w:val="none" w:sz="0" w:space="0" w:color="auto"/>
      </w:divBdr>
    </w:div>
    <w:div w:id="458375824">
      <w:bodyDiv w:val="1"/>
      <w:marLeft w:val="0"/>
      <w:marRight w:val="0"/>
      <w:marTop w:val="0"/>
      <w:marBottom w:val="0"/>
      <w:divBdr>
        <w:top w:val="none" w:sz="0" w:space="0" w:color="auto"/>
        <w:left w:val="none" w:sz="0" w:space="0" w:color="auto"/>
        <w:bottom w:val="none" w:sz="0" w:space="0" w:color="auto"/>
        <w:right w:val="none" w:sz="0" w:space="0" w:color="auto"/>
      </w:divBdr>
    </w:div>
    <w:div w:id="571160800">
      <w:bodyDiv w:val="1"/>
      <w:marLeft w:val="0"/>
      <w:marRight w:val="0"/>
      <w:marTop w:val="0"/>
      <w:marBottom w:val="0"/>
      <w:divBdr>
        <w:top w:val="none" w:sz="0" w:space="0" w:color="auto"/>
        <w:left w:val="none" w:sz="0" w:space="0" w:color="auto"/>
        <w:bottom w:val="none" w:sz="0" w:space="0" w:color="auto"/>
        <w:right w:val="none" w:sz="0" w:space="0" w:color="auto"/>
      </w:divBdr>
    </w:div>
    <w:div w:id="576944324">
      <w:bodyDiv w:val="1"/>
      <w:marLeft w:val="0"/>
      <w:marRight w:val="0"/>
      <w:marTop w:val="0"/>
      <w:marBottom w:val="0"/>
      <w:divBdr>
        <w:top w:val="none" w:sz="0" w:space="0" w:color="auto"/>
        <w:left w:val="none" w:sz="0" w:space="0" w:color="auto"/>
        <w:bottom w:val="none" w:sz="0" w:space="0" w:color="auto"/>
        <w:right w:val="none" w:sz="0" w:space="0" w:color="auto"/>
      </w:divBdr>
    </w:div>
    <w:div w:id="979968208">
      <w:bodyDiv w:val="1"/>
      <w:marLeft w:val="0"/>
      <w:marRight w:val="0"/>
      <w:marTop w:val="0"/>
      <w:marBottom w:val="0"/>
      <w:divBdr>
        <w:top w:val="none" w:sz="0" w:space="0" w:color="auto"/>
        <w:left w:val="none" w:sz="0" w:space="0" w:color="auto"/>
        <w:bottom w:val="none" w:sz="0" w:space="0" w:color="auto"/>
        <w:right w:val="none" w:sz="0" w:space="0" w:color="auto"/>
      </w:divBdr>
    </w:div>
    <w:div w:id="1228958264">
      <w:bodyDiv w:val="1"/>
      <w:marLeft w:val="0"/>
      <w:marRight w:val="0"/>
      <w:marTop w:val="0"/>
      <w:marBottom w:val="0"/>
      <w:divBdr>
        <w:top w:val="none" w:sz="0" w:space="0" w:color="auto"/>
        <w:left w:val="none" w:sz="0" w:space="0" w:color="auto"/>
        <w:bottom w:val="none" w:sz="0" w:space="0" w:color="auto"/>
        <w:right w:val="none" w:sz="0" w:space="0" w:color="auto"/>
      </w:divBdr>
    </w:div>
    <w:div w:id="1285120414">
      <w:bodyDiv w:val="1"/>
      <w:marLeft w:val="0"/>
      <w:marRight w:val="0"/>
      <w:marTop w:val="0"/>
      <w:marBottom w:val="0"/>
      <w:divBdr>
        <w:top w:val="none" w:sz="0" w:space="0" w:color="auto"/>
        <w:left w:val="none" w:sz="0" w:space="0" w:color="auto"/>
        <w:bottom w:val="none" w:sz="0" w:space="0" w:color="auto"/>
        <w:right w:val="none" w:sz="0" w:space="0" w:color="auto"/>
      </w:divBdr>
    </w:div>
    <w:div w:id="1291283156">
      <w:bodyDiv w:val="1"/>
      <w:marLeft w:val="0"/>
      <w:marRight w:val="0"/>
      <w:marTop w:val="0"/>
      <w:marBottom w:val="0"/>
      <w:divBdr>
        <w:top w:val="none" w:sz="0" w:space="0" w:color="auto"/>
        <w:left w:val="none" w:sz="0" w:space="0" w:color="auto"/>
        <w:bottom w:val="none" w:sz="0" w:space="0" w:color="auto"/>
        <w:right w:val="none" w:sz="0" w:space="0" w:color="auto"/>
      </w:divBdr>
    </w:div>
    <w:div w:id="1474324918">
      <w:bodyDiv w:val="1"/>
      <w:marLeft w:val="0"/>
      <w:marRight w:val="0"/>
      <w:marTop w:val="0"/>
      <w:marBottom w:val="0"/>
      <w:divBdr>
        <w:top w:val="none" w:sz="0" w:space="0" w:color="auto"/>
        <w:left w:val="none" w:sz="0" w:space="0" w:color="auto"/>
        <w:bottom w:val="none" w:sz="0" w:space="0" w:color="auto"/>
        <w:right w:val="none" w:sz="0" w:space="0" w:color="auto"/>
      </w:divBdr>
    </w:div>
    <w:div w:id="1512260981">
      <w:bodyDiv w:val="1"/>
      <w:marLeft w:val="0"/>
      <w:marRight w:val="0"/>
      <w:marTop w:val="0"/>
      <w:marBottom w:val="0"/>
      <w:divBdr>
        <w:top w:val="none" w:sz="0" w:space="0" w:color="auto"/>
        <w:left w:val="none" w:sz="0" w:space="0" w:color="auto"/>
        <w:bottom w:val="none" w:sz="0" w:space="0" w:color="auto"/>
        <w:right w:val="none" w:sz="0" w:space="0" w:color="auto"/>
      </w:divBdr>
    </w:div>
    <w:div w:id="1534734861">
      <w:bodyDiv w:val="1"/>
      <w:marLeft w:val="0"/>
      <w:marRight w:val="0"/>
      <w:marTop w:val="0"/>
      <w:marBottom w:val="0"/>
      <w:divBdr>
        <w:top w:val="none" w:sz="0" w:space="0" w:color="auto"/>
        <w:left w:val="none" w:sz="0" w:space="0" w:color="auto"/>
        <w:bottom w:val="none" w:sz="0" w:space="0" w:color="auto"/>
        <w:right w:val="none" w:sz="0" w:space="0" w:color="auto"/>
      </w:divBdr>
    </w:div>
    <w:div w:id="1751612616">
      <w:bodyDiv w:val="1"/>
      <w:marLeft w:val="0"/>
      <w:marRight w:val="0"/>
      <w:marTop w:val="0"/>
      <w:marBottom w:val="0"/>
      <w:divBdr>
        <w:top w:val="none" w:sz="0" w:space="0" w:color="auto"/>
        <w:left w:val="none" w:sz="0" w:space="0" w:color="auto"/>
        <w:bottom w:val="none" w:sz="0" w:space="0" w:color="auto"/>
        <w:right w:val="none" w:sz="0" w:space="0" w:color="auto"/>
      </w:divBdr>
    </w:div>
    <w:div w:id="1787114511">
      <w:bodyDiv w:val="1"/>
      <w:marLeft w:val="0"/>
      <w:marRight w:val="0"/>
      <w:marTop w:val="0"/>
      <w:marBottom w:val="0"/>
      <w:divBdr>
        <w:top w:val="none" w:sz="0" w:space="0" w:color="auto"/>
        <w:left w:val="none" w:sz="0" w:space="0" w:color="auto"/>
        <w:bottom w:val="none" w:sz="0" w:space="0" w:color="auto"/>
        <w:right w:val="none" w:sz="0" w:space="0" w:color="auto"/>
      </w:divBdr>
    </w:div>
    <w:div w:id="1886789981">
      <w:bodyDiv w:val="1"/>
      <w:marLeft w:val="0"/>
      <w:marRight w:val="0"/>
      <w:marTop w:val="0"/>
      <w:marBottom w:val="0"/>
      <w:divBdr>
        <w:top w:val="none" w:sz="0" w:space="0" w:color="auto"/>
        <w:left w:val="none" w:sz="0" w:space="0" w:color="auto"/>
        <w:bottom w:val="none" w:sz="0" w:space="0" w:color="auto"/>
        <w:right w:val="none" w:sz="0" w:space="0" w:color="auto"/>
      </w:divBdr>
    </w:div>
    <w:div w:id="1911841999">
      <w:bodyDiv w:val="1"/>
      <w:marLeft w:val="0"/>
      <w:marRight w:val="0"/>
      <w:marTop w:val="0"/>
      <w:marBottom w:val="0"/>
      <w:divBdr>
        <w:top w:val="none" w:sz="0" w:space="0" w:color="auto"/>
        <w:left w:val="none" w:sz="0" w:space="0" w:color="auto"/>
        <w:bottom w:val="none" w:sz="0" w:space="0" w:color="auto"/>
        <w:right w:val="none" w:sz="0" w:space="0" w:color="auto"/>
      </w:divBdr>
    </w:div>
    <w:div w:id="208833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2433</Words>
  <Characters>13869</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Andrii Y Kitura</dc:creator>
  <cp:lastModifiedBy>Victor S Kovalenko</cp:lastModifiedBy>
  <cp:revision>3</cp:revision>
  <dcterms:created xsi:type="dcterms:W3CDTF">2015-07-31T14:52:00Z</dcterms:created>
  <dcterms:modified xsi:type="dcterms:W3CDTF">2015-07-31T14:55:00Z</dcterms:modified>
</cp:coreProperties>
</file>